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924B" w14:textId="77777777" w:rsidR="00DC04FB" w:rsidRPr="00C865C3" w:rsidRDefault="003402C3" w:rsidP="00C865C3">
      <w:pPr>
        <w:pStyle w:val="H1"/>
        <w:spacing w:after="0"/>
        <w:rPr>
          <w:rFonts w:ascii="Arial" w:hAnsi="Arial" w:cs="Arial"/>
        </w:rPr>
      </w:pPr>
      <w:r w:rsidRPr="00C865C3">
        <w:rPr>
          <w:rFonts w:ascii="Arial" w:hAnsi="Arial" w:cs="Arial"/>
        </w:rPr>
        <w:t xml:space="preserve"> </w:t>
      </w:r>
    </w:p>
    <w:p w14:paraId="226306B7" w14:textId="77777777" w:rsidR="00EE2670" w:rsidRPr="00C865C3" w:rsidRDefault="00EE2670" w:rsidP="00C865C3">
      <w:pPr>
        <w:pStyle w:val="BODY"/>
        <w:rPr>
          <w:rFonts w:ascii="Arial" w:hAnsi="Arial" w:cs="Arial"/>
        </w:rPr>
      </w:pPr>
    </w:p>
    <w:p w14:paraId="78969E7D" w14:textId="77777777" w:rsidR="0077682D" w:rsidRDefault="0077682D" w:rsidP="00C865C3">
      <w:pPr>
        <w:pStyle w:val="H1"/>
        <w:spacing w:after="0"/>
        <w:rPr>
          <w:rFonts w:ascii="Arial" w:hAnsi="Arial" w:cs="Arial"/>
          <w:color w:val="auto"/>
          <w:sz w:val="72"/>
          <w:szCs w:val="72"/>
        </w:rPr>
      </w:pPr>
    </w:p>
    <w:p w14:paraId="061E988E" w14:textId="5363623B" w:rsidR="00EE2670" w:rsidRPr="0077682D" w:rsidRDefault="0077682D" w:rsidP="0077682D">
      <w:pPr>
        <w:pStyle w:val="H1"/>
        <w:spacing w:after="0" w:line="276" w:lineRule="auto"/>
        <w:rPr>
          <w:rFonts w:ascii="Arial" w:hAnsi="Arial" w:cs="Arial"/>
          <w:color w:val="auto"/>
        </w:rPr>
      </w:pPr>
      <w:r w:rsidRPr="0077682D">
        <w:rPr>
          <w:rFonts w:ascii="Arial" w:hAnsi="Arial" w:cs="Arial"/>
          <w:color w:val="auto"/>
          <w:sz w:val="72"/>
          <w:szCs w:val="72"/>
        </w:rPr>
        <w:t>Delivering the Neighbourhood Health Service: Estates</w:t>
      </w:r>
    </w:p>
    <w:p w14:paraId="2A14EB4E" w14:textId="5B410B01" w:rsidR="00B94F9C" w:rsidRPr="00C865C3" w:rsidRDefault="00B94F9C" w:rsidP="00C865C3">
      <w:pPr>
        <w:pStyle w:val="BODY"/>
        <w:rPr>
          <w:rFonts w:ascii="Arial" w:hAnsi="Arial" w:cs="Arial"/>
        </w:rPr>
      </w:pPr>
      <w:r w:rsidRPr="00C865C3">
        <w:rPr>
          <w:rFonts w:ascii="Arial" w:hAnsi="Arial" w:cs="Arial"/>
        </w:rPr>
        <w:t>_______________________________________________________________________________</w:t>
      </w:r>
    </w:p>
    <w:p w14:paraId="7083AFBC" w14:textId="77777777" w:rsidR="00B94F9C" w:rsidRPr="00C865C3" w:rsidRDefault="00B94F9C" w:rsidP="00C865C3">
      <w:pPr>
        <w:pStyle w:val="BODY"/>
        <w:rPr>
          <w:rFonts w:ascii="Arial" w:hAnsi="Arial" w:cs="Arial"/>
        </w:rPr>
      </w:pPr>
    </w:p>
    <w:p w14:paraId="209698EE" w14:textId="283ABD7A" w:rsidR="004C28C9" w:rsidRPr="00C865C3" w:rsidRDefault="001D51F2" w:rsidP="00C865C3">
      <w:pPr>
        <w:pStyle w:val="BODY"/>
        <w:rPr>
          <w:rFonts w:ascii="Arial" w:hAnsi="Arial" w:cs="Arial"/>
          <w:b/>
          <w:bCs/>
          <w:sz w:val="28"/>
          <w:szCs w:val="24"/>
        </w:rPr>
      </w:pPr>
      <w:r w:rsidRPr="00C865C3">
        <w:rPr>
          <w:rFonts w:ascii="Arial" w:hAnsi="Arial" w:cs="Arial"/>
          <w:b/>
          <w:bCs/>
          <w:sz w:val="28"/>
          <w:szCs w:val="24"/>
        </w:rPr>
        <w:t>February 2026</w:t>
      </w:r>
    </w:p>
    <w:p w14:paraId="40279075" w14:textId="77777777" w:rsidR="007563D0" w:rsidRPr="00C865C3" w:rsidRDefault="007563D0" w:rsidP="00C865C3">
      <w:pPr>
        <w:rPr>
          <w:rFonts w:ascii="Arial" w:hAnsi="Arial" w:cs="Arial"/>
          <w:b/>
          <w:bCs/>
        </w:rPr>
      </w:pPr>
    </w:p>
    <w:p w14:paraId="7134D61A" w14:textId="3B135D5C" w:rsidR="007563D0" w:rsidRPr="00C865C3" w:rsidRDefault="007563D0" w:rsidP="00C865C3">
      <w:pPr>
        <w:rPr>
          <w:rFonts w:ascii="Arial" w:hAnsi="Arial" w:cs="Arial"/>
          <w:b/>
          <w:bCs/>
          <w:sz w:val="28"/>
          <w:szCs w:val="28"/>
        </w:rPr>
      </w:pPr>
      <w:r w:rsidRPr="00C865C3">
        <w:rPr>
          <w:rFonts w:ascii="Arial" w:hAnsi="Arial" w:cs="Arial"/>
          <w:b/>
          <w:bCs/>
          <w:sz w:val="28"/>
          <w:szCs w:val="28"/>
        </w:rPr>
        <w:t xml:space="preserve">About us </w:t>
      </w:r>
    </w:p>
    <w:p w14:paraId="13068A7A" w14:textId="77777777" w:rsidR="007563D0" w:rsidRPr="00C865C3" w:rsidRDefault="007563D0" w:rsidP="00C865C3">
      <w:pPr>
        <w:rPr>
          <w:rFonts w:ascii="Arial" w:hAnsi="Arial" w:cs="Arial"/>
        </w:rPr>
      </w:pPr>
      <w:r w:rsidRPr="00C865C3">
        <w:rPr>
          <w:rFonts w:ascii="Arial" w:hAnsi="Arial" w:cs="Arial"/>
        </w:rPr>
        <w:t xml:space="preserve">The </w:t>
      </w:r>
      <w:hyperlink r:id="rId11" w:history="1">
        <w:r w:rsidRPr="00C865C3">
          <w:rPr>
            <w:rStyle w:val="Hyperlink"/>
            <w:rFonts w:ascii="Arial" w:hAnsi="Arial" w:cs="Arial"/>
          </w:rPr>
          <w:t>NHS Confederation</w:t>
        </w:r>
      </w:hyperlink>
      <w:r w:rsidRPr="00C865C3">
        <w:rPr>
          <w:rFonts w:ascii="Arial" w:hAnsi="Arial" w:cs="Arial"/>
        </w:rPr>
        <w:t xml:space="preserve"> is the membership organisation that brings together, supports and speaks for the whole healthcare system in England, Wales and Northern Ireland.</w:t>
      </w:r>
    </w:p>
    <w:p w14:paraId="7CFB1480" w14:textId="77777777" w:rsidR="007563D0" w:rsidRPr="00C865C3" w:rsidRDefault="007563D0" w:rsidP="00C865C3">
      <w:pPr>
        <w:rPr>
          <w:rFonts w:ascii="Arial" w:hAnsi="Arial" w:cs="Arial"/>
        </w:rPr>
      </w:pPr>
    </w:p>
    <w:p w14:paraId="474E7CD1" w14:textId="77777777" w:rsidR="007563D0" w:rsidRPr="00C865C3" w:rsidRDefault="007563D0" w:rsidP="00C865C3">
      <w:pPr>
        <w:rPr>
          <w:rFonts w:ascii="Arial" w:hAnsi="Arial" w:cs="Arial"/>
        </w:rPr>
      </w:pPr>
      <w:hyperlink r:id="rId12" w:history="1">
        <w:r w:rsidRPr="00C865C3">
          <w:rPr>
            <w:rStyle w:val="Hyperlink"/>
            <w:rFonts w:ascii="Arial" w:hAnsi="Arial" w:cs="Arial"/>
          </w:rPr>
          <w:t>NHS Providers</w:t>
        </w:r>
      </w:hyperlink>
      <w:r w:rsidRPr="00C865C3">
        <w:rPr>
          <w:rFonts w:ascii="Arial" w:hAnsi="Arial" w:cs="Arial"/>
        </w:rPr>
        <w:t xml:space="preserve"> is the membership organisation for NHS hospital, mental health, community and ambulance services that treat patients and service users in the NHS.</w:t>
      </w:r>
    </w:p>
    <w:p w14:paraId="291743C1" w14:textId="77777777" w:rsidR="007563D0" w:rsidRPr="00C865C3" w:rsidRDefault="007563D0" w:rsidP="00C865C3">
      <w:pPr>
        <w:rPr>
          <w:rFonts w:ascii="Arial" w:hAnsi="Arial" w:cs="Arial"/>
        </w:rPr>
      </w:pPr>
    </w:p>
    <w:p w14:paraId="32106347" w14:textId="6DCC9DF2" w:rsidR="00EE2670" w:rsidRPr="00C865C3" w:rsidRDefault="007563D0" w:rsidP="00C865C3">
      <w:pPr>
        <w:rPr>
          <w:rFonts w:ascii="Arial" w:hAnsi="Arial" w:cs="Arial"/>
        </w:rPr>
      </w:pPr>
      <w:r w:rsidRPr="00C865C3">
        <w:rPr>
          <w:rFonts w:ascii="Arial" w:hAnsi="Arial" w:cs="Arial"/>
        </w:rPr>
        <w:t>The NHS Confederation and NHS Providers are creating a new membership organisation that will launch on 1 April 2026. While the organisations legally merged on 12 January 2026, both will maintain their current names and branding until then. </w:t>
      </w:r>
    </w:p>
    <w:p w14:paraId="30359C8C" w14:textId="77777777" w:rsidR="00C23DFB" w:rsidRPr="00C865C3" w:rsidRDefault="00C23DFB" w:rsidP="00C865C3">
      <w:pPr>
        <w:rPr>
          <w:rFonts w:ascii="Arial" w:hAnsi="Arial" w:cs="Arial"/>
        </w:rPr>
      </w:pPr>
    </w:p>
    <w:p w14:paraId="75AD1FF8" w14:textId="7349BEDE" w:rsidR="00C23DFB" w:rsidRPr="00C865C3" w:rsidRDefault="00C23DFB" w:rsidP="00C865C3">
      <w:pPr>
        <w:rPr>
          <w:rFonts w:ascii="Arial" w:hAnsi="Arial" w:cs="Arial"/>
          <w:b/>
          <w:bCs/>
          <w:sz w:val="28"/>
          <w:szCs w:val="28"/>
        </w:rPr>
      </w:pPr>
      <w:r w:rsidRPr="00C865C3">
        <w:rPr>
          <w:rFonts w:ascii="Arial" w:hAnsi="Arial" w:cs="Arial"/>
          <w:b/>
          <w:bCs/>
          <w:sz w:val="28"/>
          <w:szCs w:val="28"/>
        </w:rPr>
        <w:t>Summary</w:t>
      </w:r>
    </w:p>
    <w:p w14:paraId="0DB069B4" w14:textId="77777777" w:rsidR="00C23DFB" w:rsidRPr="00C865C3" w:rsidRDefault="00C23DFB" w:rsidP="00C865C3">
      <w:pPr>
        <w:rPr>
          <w:rFonts w:ascii="Arial" w:hAnsi="Arial" w:cs="Arial"/>
        </w:rPr>
      </w:pPr>
      <w:r w:rsidRPr="00C865C3">
        <w:rPr>
          <w:rFonts w:ascii="Arial" w:hAnsi="Arial" w:cs="Arial"/>
        </w:rPr>
        <w:t>The current NHS estate is inflexible, outdated and poorly suited to supporting the delivery of the neighbourhood health service. To realise the ambition in the government’s 10-Year Health Plan to move care closer to home, we will need a wide range of health services under one roof that are based within communities they serve.</w:t>
      </w:r>
    </w:p>
    <w:p w14:paraId="43D3D490" w14:textId="77777777" w:rsidR="00C23DFB" w:rsidRPr="00C865C3" w:rsidRDefault="00C23DFB" w:rsidP="00C865C3">
      <w:pPr>
        <w:rPr>
          <w:rFonts w:ascii="Arial" w:hAnsi="Arial" w:cs="Arial"/>
        </w:rPr>
      </w:pPr>
    </w:p>
    <w:p w14:paraId="308E7EAA" w14:textId="77777777" w:rsidR="00C23DFB" w:rsidRPr="00C865C3" w:rsidRDefault="00C23DFB" w:rsidP="00C865C3">
      <w:pPr>
        <w:rPr>
          <w:rFonts w:ascii="Arial" w:hAnsi="Arial" w:cs="Arial"/>
        </w:rPr>
      </w:pPr>
      <w:r w:rsidRPr="00C865C3">
        <w:rPr>
          <w:rFonts w:ascii="Arial" w:hAnsi="Arial" w:cs="Arial"/>
        </w:rPr>
        <w:t>As well as maximising use of the current NHS estate by, for instance, making better use of void space and marrying up estate planning and service commissioning, we will need to see fresh approaches taken both by the government and locally.</w:t>
      </w:r>
    </w:p>
    <w:p w14:paraId="659E1E3E" w14:textId="77777777" w:rsidR="00C23DFB" w:rsidRPr="00C865C3" w:rsidRDefault="00C23DFB" w:rsidP="00C865C3">
      <w:pPr>
        <w:rPr>
          <w:rFonts w:ascii="Arial" w:hAnsi="Arial" w:cs="Arial"/>
        </w:rPr>
      </w:pPr>
    </w:p>
    <w:p w14:paraId="7DFB0C3B" w14:textId="77777777" w:rsidR="00C23DFB" w:rsidRPr="00C865C3" w:rsidRDefault="00C23DFB" w:rsidP="00C865C3">
      <w:pPr>
        <w:rPr>
          <w:rFonts w:ascii="Arial" w:hAnsi="Arial" w:cs="Arial"/>
        </w:rPr>
      </w:pPr>
      <w:r w:rsidRPr="00C865C3">
        <w:rPr>
          <w:rFonts w:ascii="Arial" w:hAnsi="Arial" w:cs="Arial"/>
        </w:rPr>
        <w:t>We will need to see planning processes reformed, for instance, to make it easier for the NHS to access funding which could help with estate development. In addition, a streamlined approvals process for capital projects is needed, as is the devolving of more decision-making to system level to enable more effective estate development and utilisation.</w:t>
      </w:r>
    </w:p>
    <w:p w14:paraId="2311403A" w14:textId="77777777" w:rsidR="00C23DFB" w:rsidRPr="00C865C3" w:rsidRDefault="00C23DFB" w:rsidP="00C865C3">
      <w:pPr>
        <w:rPr>
          <w:rFonts w:ascii="Arial" w:hAnsi="Arial" w:cs="Arial"/>
        </w:rPr>
      </w:pPr>
    </w:p>
    <w:p w14:paraId="67D9B03C" w14:textId="77777777" w:rsidR="00C23DFB" w:rsidRPr="00C865C3" w:rsidRDefault="00C23DFB" w:rsidP="00C865C3">
      <w:pPr>
        <w:rPr>
          <w:rFonts w:ascii="Arial" w:hAnsi="Arial" w:cs="Arial"/>
        </w:rPr>
      </w:pPr>
      <w:r w:rsidRPr="00C865C3">
        <w:rPr>
          <w:rFonts w:ascii="Arial" w:hAnsi="Arial" w:cs="Arial"/>
        </w:rPr>
        <w:t>Ministers will need to learn lessons from previous private investment models when using public-private partnerships, and there are numerous examples from around the world that can be used to inform the approach in England.</w:t>
      </w:r>
    </w:p>
    <w:p w14:paraId="254ACC5C" w14:textId="77777777" w:rsidR="00C23DFB" w:rsidRPr="00C865C3" w:rsidRDefault="00C23DFB" w:rsidP="00C865C3">
      <w:pPr>
        <w:rPr>
          <w:rFonts w:ascii="Arial" w:hAnsi="Arial" w:cs="Arial"/>
        </w:rPr>
      </w:pPr>
    </w:p>
    <w:p w14:paraId="418EA1BD" w14:textId="77777777" w:rsidR="00C23DFB" w:rsidRPr="00C865C3" w:rsidRDefault="00C23DFB" w:rsidP="00C865C3">
      <w:pPr>
        <w:rPr>
          <w:rFonts w:ascii="Arial" w:hAnsi="Arial" w:cs="Arial"/>
        </w:rPr>
      </w:pPr>
      <w:r w:rsidRPr="00C865C3">
        <w:rPr>
          <w:rFonts w:ascii="Arial" w:hAnsi="Arial" w:cs="Arial"/>
        </w:rPr>
        <w:lastRenderedPageBreak/>
        <w:t>Locally, non-NHS settings can be better used to support the delivery of care. Community and voluntary sector spaces, local authority buildings and private and commercial spaces such as pharmacies, high-street retail units and shopping centres can all expand capacity and improve access.</w:t>
      </w:r>
    </w:p>
    <w:p w14:paraId="17DFB1F8" w14:textId="77777777" w:rsidR="00C23DFB" w:rsidRPr="00C865C3" w:rsidRDefault="00C23DFB" w:rsidP="00C865C3">
      <w:pPr>
        <w:rPr>
          <w:rFonts w:ascii="Arial" w:hAnsi="Arial" w:cs="Arial"/>
        </w:rPr>
      </w:pPr>
    </w:p>
    <w:p w14:paraId="7BBB368E" w14:textId="77777777" w:rsidR="00C23DFB" w:rsidRPr="00C865C3" w:rsidRDefault="00C23DFB" w:rsidP="00C865C3">
      <w:pPr>
        <w:rPr>
          <w:rFonts w:ascii="Arial" w:hAnsi="Arial" w:cs="Arial"/>
        </w:rPr>
      </w:pPr>
      <w:r w:rsidRPr="00C865C3">
        <w:rPr>
          <w:rFonts w:ascii="Arial" w:hAnsi="Arial" w:cs="Arial"/>
        </w:rPr>
        <w:t>The role of the VCSE sector is crucial in the planning and design of estate transformation. The NHS should tap into the sector’s deep roots in local communities, its flexibility and its ability to build trusted relationships. These factors make the VCSE sector essential partners in designing and delivering care that reflects local priorities and the lived experiences of those they serve in accessible and suitable locations.</w:t>
      </w:r>
    </w:p>
    <w:p w14:paraId="14F559A2" w14:textId="77777777" w:rsidR="00E40BD4" w:rsidRPr="00C865C3" w:rsidRDefault="00E40BD4" w:rsidP="00C865C3">
      <w:pPr>
        <w:rPr>
          <w:rFonts w:ascii="Arial" w:hAnsi="Arial" w:cs="Arial"/>
        </w:rPr>
      </w:pPr>
    </w:p>
    <w:p w14:paraId="22C749C1" w14:textId="12A754DF" w:rsidR="00E40BD4" w:rsidRPr="00C865C3" w:rsidRDefault="00E40BD4" w:rsidP="00C865C3">
      <w:pPr>
        <w:numPr>
          <w:ilvl w:val="0"/>
          <w:numId w:val="44"/>
        </w:numPr>
        <w:rPr>
          <w:rFonts w:ascii="Arial" w:hAnsi="Arial" w:cs="Arial"/>
          <w:b/>
          <w:bCs/>
          <w:sz w:val="28"/>
          <w:szCs w:val="28"/>
        </w:rPr>
      </w:pPr>
      <w:r w:rsidRPr="00C865C3">
        <w:rPr>
          <w:rFonts w:ascii="Arial" w:hAnsi="Arial" w:cs="Arial"/>
          <w:b/>
          <w:bCs/>
          <w:sz w:val="28"/>
          <w:szCs w:val="28"/>
        </w:rPr>
        <w:t>What is needed from the NHS estate to allow it to deliver the Neighbourhood Health Service?      </w:t>
      </w:r>
    </w:p>
    <w:p w14:paraId="52654329"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A neighbourhood health service will require a modern estate which provides integrated health services under one roof for local communities. To realise this ambition, NHS organisations need the right tools to ensure that this change can take place and that their facilities are fit for the future.</w:t>
      </w:r>
    </w:p>
    <w:p w14:paraId="11CE51C4" w14:textId="77777777" w:rsidR="00E40BD4" w:rsidRPr="00C865C3" w:rsidRDefault="00E40BD4" w:rsidP="00C865C3">
      <w:pPr>
        <w:rPr>
          <w:rFonts w:ascii="Arial" w:hAnsi="Arial" w:cs="Arial"/>
        </w:rPr>
      </w:pPr>
    </w:p>
    <w:p w14:paraId="332385D3"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 xml:space="preserve">The neighbourhood estate will require more local, multi-purpose sites that bring </w:t>
      </w:r>
      <w:proofErr w:type="gramStart"/>
      <w:r w:rsidRPr="00C865C3">
        <w:rPr>
          <w:rFonts w:ascii="Arial" w:hAnsi="Arial" w:cs="Arial"/>
        </w:rPr>
        <w:t>a number of</w:t>
      </w:r>
      <w:proofErr w:type="gramEnd"/>
      <w:r w:rsidRPr="00C865C3">
        <w:rPr>
          <w:rFonts w:ascii="Arial" w:hAnsi="Arial" w:cs="Arial"/>
        </w:rPr>
        <w:t xml:space="preserve"> services – including ones such as diagnostic centres, acute outpatient care, general practice, mental health and VCSE services, as well as things like social services and housing services – under one roof.</w:t>
      </w:r>
    </w:p>
    <w:p w14:paraId="74D1BD46" w14:textId="77777777" w:rsidR="00E40BD4" w:rsidRPr="00C865C3" w:rsidRDefault="00E40BD4" w:rsidP="00C865C3">
      <w:pPr>
        <w:pStyle w:val="ListParagraph"/>
        <w:rPr>
          <w:rFonts w:ascii="Arial" w:hAnsi="Arial" w:cs="Arial"/>
        </w:rPr>
      </w:pPr>
    </w:p>
    <w:p w14:paraId="2D572D87"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 xml:space="preserve">The use of the NHS estate needs to be maximised. Facilities need to be based within communities, with primary care forming a core element. A modern estate should act as an anchor, able to house a broad range of preventative services, ultimately reducing the number of patients who are referred to hospital. This will require a cultural shift away from infrastructure built solely around NHS norms. </w:t>
      </w:r>
    </w:p>
    <w:p w14:paraId="047A5AB4" w14:textId="77777777" w:rsidR="00E40BD4" w:rsidRPr="00C865C3" w:rsidRDefault="00E40BD4" w:rsidP="00C865C3">
      <w:pPr>
        <w:pStyle w:val="ListParagraph"/>
        <w:rPr>
          <w:rFonts w:ascii="Arial" w:hAnsi="Arial" w:cs="Arial"/>
        </w:rPr>
      </w:pPr>
    </w:p>
    <w:p w14:paraId="64F669E1"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Three quarters of respondents to a survey</w:t>
      </w:r>
      <w:r w:rsidRPr="00C865C3">
        <w:rPr>
          <w:rStyle w:val="FootnoteReference"/>
          <w:rFonts w:ascii="Arial" w:hAnsi="Arial" w:cs="Arial"/>
        </w:rPr>
        <w:footnoteReference w:id="2"/>
      </w:r>
      <w:r w:rsidRPr="00C865C3">
        <w:rPr>
          <w:rFonts w:ascii="Arial" w:hAnsi="Arial" w:cs="Arial"/>
        </w:rPr>
        <w:t xml:space="preserve"> by our Community Network outlined the need for a longer-term estate strategy, while three in five highlighted the need for better connectivity between services, for example by co-locating primary care and local authority services.</w:t>
      </w:r>
    </w:p>
    <w:p w14:paraId="5C48C94F" w14:textId="77777777" w:rsidR="00E40BD4" w:rsidRPr="00C865C3" w:rsidRDefault="00E40BD4" w:rsidP="00C865C3">
      <w:pPr>
        <w:rPr>
          <w:rFonts w:ascii="Arial" w:hAnsi="Arial" w:cs="Arial"/>
        </w:rPr>
      </w:pPr>
    </w:p>
    <w:p w14:paraId="46E693BE" w14:textId="60CD135D" w:rsidR="00E40BD4" w:rsidRPr="00C865C3" w:rsidRDefault="00E40BD4" w:rsidP="00C865C3">
      <w:pPr>
        <w:pStyle w:val="ListParagraph"/>
        <w:numPr>
          <w:ilvl w:val="0"/>
          <w:numId w:val="45"/>
        </w:numPr>
        <w:rPr>
          <w:rFonts w:ascii="Arial" w:hAnsi="Arial" w:cs="Arial"/>
          <w:b/>
          <w:bCs/>
          <w:sz w:val="28"/>
          <w:szCs w:val="28"/>
        </w:rPr>
      </w:pPr>
      <w:r w:rsidRPr="00C865C3">
        <w:rPr>
          <w:rFonts w:ascii="Arial" w:hAnsi="Arial" w:cs="Arial"/>
          <w:b/>
          <w:bCs/>
          <w:sz w:val="28"/>
          <w:szCs w:val="28"/>
        </w:rPr>
        <w:t>How does this compare to the current NHS estate?      </w:t>
      </w:r>
    </w:p>
    <w:p w14:paraId="16BEBF43"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The current NHS estate is inflexible, outdated and poorly suited to supporting the delivery of care closer to home through a neighbourhood health service.</w:t>
      </w:r>
    </w:p>
    <w:p w14:paraId="2EBC1BA6" w14:textId="77777777" w:rsidR="00E40BD4" w:rsidRPr="00C865C3" w:rsidRDefault="00E40BD4" w:rsidP="00C865C3">
      <w:pPr>
        <w:pStyle w:val="ListParagraph"/>
        <w:rPr>
          <w:rFonts w:ascii="Arial" w:hAnsi="Arial" w:cs="Arial"/>
        </w:rPr>
      </w:pPr>
    </w:p>
    <w:p w14:paraId="017D6C86"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One reason for this is, throughout the 2010s, the DHSC capital budget was continually raided to top up day-to day spending. Between 2014-15 and 2018-19, £4.3 billion was transferred from the capital budget to support revenue pressures</w:t>
      </w:r>
      <w:r w:rsidRPr="00C865C3">
        <w:rPr>
          <w:rStyle w:val="FootnoteReference"/>
          <w:rFonts w:ascii="Arial" w:hAnsi="Arial" w:cs="Arial"/>
        </w:rPr>
        <w:footnoteReference w:id="3"/>
      </w:r>
      <w:r w:rsidRPr="00C865C3">
        <w:rPr>
          <w:rFonts w:ascii="Arial" w:hAnsi="Arial" w:cs="Arial"/>
        </w:rPr>
        <w:t xml:space="preserve">, having a significant impact on the NHS estate, </w:t>
      </w:r>
      <w:r w:rsidRPr="00C865C3">
        <w:rPr>
          <w:rFonts w:ascii="Arial" w:hAnsi="Arial" w:cs="Arial"/>
        </w:rPr>
        <w:lastRenderedPageBreak/>
        <w:t>leading to deteriorating buildings and equipment and not enough capital investment to maintain assets to suitable conditions.</w:t>
      </w:r>
    </w:p>
    <w:p w14:paraId="43B91384" w14:textId="77777777" w:rsidR="00E40BD4" w:rsidRPr="00C865C3" w:rsidRDefault="00E40BD4" w:rsidP="00C865C3">
      <w:pPr>
        <w:pStyle w:val="ListParagraph"/>
        <w:rPr>
          <w:rFonts w:ascii="Arial" w:hAnsi="Arial" w:cs="Arial"/>
        </w:rPr>
      </w:pPr>
    </w:p>
    <w:p w14:paraId="2E2E89B2"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This has been particularly felt in primary care, where, for example, around 50 per cent of GPs’ premises are not fit for purpose. Many buildings are old and have large maintenance backlogs, with a fifth older than the NHS.</w:t>
      </w:r>
      <w:r w:rsidRPr="00C865C3">
        <w:rPr>
          <w:rStyle w:val="FootnoteReference"/>
          <w:rFonts w:ascii="Arial" w:hAnsi="Arial" w:cs="Arial"/>
        </w:rPr>
        <w:footnoteReference w:id="4"/>
      </w:r>
    </w:p>
    <w:p w14:paraId="4A652F54" w14:textId="77777777" w:rsidR="00E40BD4" w:rsidRPr="00C865C3" w:rsidRDefault="00E40BD4" w:rsidP="00C865C3">
      <w:pPr>
        <w:pStyle w:val="ListParagraph"/>
        <w:rPr>
          <w:rFonts w:ascii="Arial" w:hAnsi="Arial" w:cs="Arial"/>
        </w:rPr>
      </w:pPr>
    </w:p>
    <w:p w14:paraId="26D5962A"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Local sites are often run by individual organisations focussing on specific areas of care such as primary, acute or community. Neighbourhood health hubs need to bring staff together to work as one team, providing a single point of access.</w:t>
      </w:r>
    </w:p>
    <w:p w14:paraId="6AEE8B44" w14:textId="77777777" w:rsidR="00E40BD4" w:rsidRPr="00C865C3" w:rsidRDefault="00E40BD4" w:rsidP="00C865C3">
      <w:pPr>
        <w:pStyle w:val="ListParagraph"/>
        <w:rPr>
          <w:rFonts w:ascii="Arial" w:hAnsi="Arial" w:cs="Arial"/>
        </w:rPr>
      </w:pPr>
    </w:p>
    <w:p w14:paraId="5C61B0E1"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Inflexibility is another complicating factor, with some of the existing estate, developed under public-private partnership models, underused, but bound by complex leases, leading to internal organisational disputes and the creation of barriers between local teams who should be integrating.</w:t>
      </w:r>
    </w:p>
    <w:p w14:paraId="2ACB8746" w14:textId="77777777" w:rsidR="00E40BD4" w:rsidRPr="00C865C3" w:rsidRDefault="00E40BD4" w:rsidP="00C865C3">
      <w:pPr>
        <w:rPr>
          <w:rFonts w:ascii="Arial" w:hAnsi="Arial" w:cs="Arial"/>
        </w:rPr>
      </w:pPr>
    </w:p>
    <w:p w14:paraId="7C9AFDC4" w14:textId="7E048138" w:rsidR="00E40BD4" w:rsidRPr="00C865C3" w:rsidRDefault="00E40BD4" w:rsidP="00C865C3">
      <w:pPr>
        <w:pStyle w:val="ListParagraph"/>
        <w:numPr>
          <w:ilvl w:val="0"/>
          <w:numId w:val="45"/>
        </w:numPr>
        <w:rPr>
          <w:rFonts w:ascii="Arial" w:hAnsi="Arial" w:cs="Arial"/>
          <w:b/>
          <w:bCs/>
          <w:sz w:val="28"/>
          <w:szCs w:val="28"/>
        </w:rPr>
      </w:pPr>
      <w:r w:rsidRPr="00C865C3">
        <w:rPr>
          <w:rFonts w:ascii="Arial" w:hAnsi="Arial" w:cs="Arial"/>
          <w:b/>
          <w:bCs/>
          <w:sz w:val="28"/>
          <w:szCs w:val="28"/>
        </w:rPr>
        <w:t>Do DHSC and the NHS hold sufficient data on the condition and utilisation of NHS estate?</w:t>
      </w:r>
    </w:p>
    <w:p w14:paraId="610632E6"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The lack of high-quality central data on the condition and capability of buildings across the country is a major challenge for delivering a modern estate.</w:t>
      </w:r>
    </w:p>
    <w:p w14:paraId="45DB9492" w14:textId="77777777" w:rsidR="00E40BD4" w:rsidRPr="00C865C3" w:rsidRDefault="00E40BD4" w:rsidP="00C865C3">
      <w:pPr>
        <w:pStyle w:val="ListParagraph"/>
        <w:rPr>
          <w:rFonts w:ascii="Arial" w:hAnsi="Arial" w:cs="Arial"/>
        </w:rPr>
      </w:pPr>
    </w:p>
    <w:p w14:paraId="13DF77EA"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 xml:space="preserve">While some information exists for government-owned or part-owned assets, there is no comprehensive dataset covering the full range of out of hospital facilities. Ideally, DHSC, as well as regions, systems and local authorities should have such a comprehensive dataset.  </w:t>
      </w:r>
    </w:p>
    <w:p w14:paraId="7F07FB6F" w14:textId="77777777" w:rsidR="00E40BD4" w:rsidRPr="00C865C3" w:rsidRDefault="00E40BD4" w:rsidP="00C865C3">
      <w:pPr>
        <w:pStyle w:val="ListParagraph"/>
        <w:rPr>
          <w:rFonts w:ascii="Arial" w:hAnsi="Arial" w:cs="Arial"/>
        </w:rPr>
      </w:pPr>
    </w:p>
    <w:p w14:paraId="7045D0B3"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In addition, the requirement for ICBs to restructure and reduce their headcounts in line with the development of their role as strategic commissioners has led to a potential reduction in estates and infrastructure expertise within ICBs and a lack of clarity on where this function should sit going forward. This could lead to a situation where nobody has an overarching view of estate at local level, which is problematic, because such insight is needed to understand where it is best to target funds received via Section 106 agreements and the Community Infrastructure Levy. If no such overarching view of estates exists at local level, then we risk damaging the prospect of a neighbourhood health model being delivered.</w:t>
      </w:r>
    </w:p>
    <w:p w14:paraId="41645B23" w14:textId="77777777" w:rsidR="00E40BD4" w:rsidRPr="00C865C3" w:rsidRDefault="00E40BD4" w:rsidP="00C865C3">
      <w:pPr>
        <w:rPr>
          <w:rFonts w:ascii="Arial" w:hAnsi="Arial" w:cs="Arial"/>
        </w:rPr>
      </w:pPr>
    </w:p>
    <w:p w14:paraId="753C38E0" w14:textId="4D45B578" w:rsidR="00E40BD4" w:rsidRPr="00C865C3" w:rsidRDefault="00E40BD4" w:rsidP="00C865C3">
      <w:pPr>
        <w:pStyle w:val="ListParagraph"/>
        <w:numPr>
          <w:ilvl w:val="0"/>
          <w:numId w:val="45"/>
        </w:numPr>
        <w:rPr>
          <w:rFonts w:ascii="Arial" w:hAnsi="Arial" w:cs="Arial"/>
          <w:b/>
          <w:bCs/>
          <w:sz w:val="28"/>
          <w:szCs w:val="28"/>
        </w:rPr>
      </w:pPr>
      <w:r w:rsidRPr="00C865C3">
        <w:rPr>
          <w:rFonts w:ascii="Arial" w:hAnsi="Arial" w:cs="Arial"/>
          <w:b/>
          <w:bCs/>
          <w:sz w:val="28"/>
          <w:szCs w:val="28"/>
        </w:rPr>
        <w:t>Are there opportunities to better utilise the current NHS estate to support delivery of the Neighbourhood Health Service?</w:t>
      </w:r>
    </w:p>
    <w:p w14:paraId="225ED7BF"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Tools such as NHS Open Space and Strategic Health Asset Planning and Evaluation (SHAPE) can provide system-wide visibility, while portfolio registers and estate maps spanning NHS, local authority and VCSE buildings can lead to better informed decision making, thus supporting the delivery of the neighbourhood health service.</w:t>
      </w:r>
    </w:p>
    <w:p w14:paraId="2B87834B" w14:textId="77777777" w:rsidR="00E40BD4" w:rsidRPr="00C865C3" w:rsidRDefault="00E40BD4" w:rsidP="00C865C3">
      <w:pPr>
        <w:pStyle w:val="ListParagraph"/>
        <w:rPr>
          <w:rFonts w:ascii="Arial" w:hAnsi="Arial" w:cs="Arial"/>
        </w:rPr>
      </w:pPr>
    </w:p>
    <w:p w14:paraId="08C4A3F9"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lastRenderedPageBreak/>
        <w:t>The separation of estate planning and service commissioning can lead to void space, whereby property and rooms within buildings are being underutilised or not used at all but still cost ICBs to maintain. Systems could use available data to commission services into void space and work with local partners to maximise building and room usage.</w:t>
      </w:r>
    </w:p>
    <w:p w14:paraId="7AD3451F" w14:textId="77777777" w:rsidR="00E40BD4" w:rsidRPr="00C865C3" w:rsidRDefault="00E40BD4" w:rsidP="00C865C3">
      <w:pPr>
        <w:pStyle w:val="ListParagraph"/>
        <w:rPr>
          <w:rFonts w:ascii="Arial" w:hAnsi="Arial" w:cs="Arial"/>
        </w:rPr>
      </w:pPr>
    </w:p>
    <w:p w14:paraId="160FA2E9"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One example of void space being effectively filled is NHS Lancashire and South Cumbria ICB’s proposal</w:t>
      </w:r>
      <w:r w:rsidRPr="00C865C3">
        <w:rPr>
          <w:rStyle w:val="FootnoteReference"/>
          <w:rFonts w:ascii="Arial" w:hAnsi="Arial" w:cs="Arial"/>
        </w:rPr>
        <w:footnoteReference w:id="5"/>
      </w:r>
      <w:r w:rsidRPr="00C865C3">
        <w:rPr>
          <w:rFonts w:ascii="Arial" w:hAnsi="Arial" w:cs="Arial"/>
        </w:rPr>
        <w:t xml:space="preserve"> to create a Health Hub at St Peter’s Health Centre in Burnley. Supported by £3.2 million investment from Community Health Partnerships (CHP), the hub will integrate primary, community and hospital services, reduce pressure on local hospitals, and optimise over 1,000 square metres of space.</w:t>
      </w:r>
    </w:p>
    <w:p w14:paraId="70E986CE" w14:textId="77777777" w:rsidR="00E40BD4" w:rsidRPr="00C865C3" w:rsidRDefault="00E40BD4" w:rsidP="00C865C3">
      <w:pPr>
        <w:pStyle w:val="ListParagraph"/>
        <w:rPr>
          <w:rFonts w:ascii="Arial" w:hAnsi="Arial" w:cs="Arial"/>
        </w:rPr>
      </w:pPr>
    </w:p>
    <w:p w14:paraId="49E57596"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The centre currently promotes a highly fragmented model of NHS physical infrastructure, with sector</w:t>
      </w:r>
      <w:r w:rsidRPr="00C865C3">
        <w:rPr>
          <w:rFonts w:ascii="Arial" w:hAnsi="Arial" w:cs="Arial"/>
        </w:rPr>
        <w:noBreakHyphen/>
        <w:t>specific grants allocated for improvement and new</w:t>
      </w:r>
      <w:r w:rsidRPr="00C865C3">
        <w:rPr>
          <w:rFonts w:ascii="Arial" w:hAnsi="Arial" w:cs="Arial"/>
        </w:rPr>
        <w:noBreakHyphen/>
        <w:t>build programmes. This is reinforced locally through the absence of commissioning models that would encourage organisations to prioritise delivering services within shared infrastructure.</w:t>
      </w:r>
    </w:p>
    <w:p w14:paraId="02DCD2F0" w14:textId="77777777" w:rsidR="00E40BD4" w:rsidRPr="00C865C3" w:rsidRDefault="00E40BD4" w:rsidP="00C865C3">
      <w:pPr>
        <w:pStyle w:val="ListParagraph"/>
        <w:rPr>
          <w:rFonts w:ascii="Arial" w:hAnsi="Arial" w:cs="Arial"/>
        </w:rPr>
      </w:pPr>
    </w:p>
    <w:p w14:paraId="6C94F3B0"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Local areas should be supported to develop joint infrastructure strategies for the delivery of NHS and neighbourhood services, bringing together a wider set of partners such as local government and the voluntary sector, leading to the development of joint estates strategies and shadow budgets, enabling capital and revenue expenditure to be considered at place or system level.</w:t>
      </w:r>
    </w:p>
    <w:p w14:paraId="2955911D" w14:textId="77777777" w:rsidR="00E40BD4" w:rsidRPr="00C865C3" w:rsidRDefault="00E40BD4" w:rsidP="00C865C3">
      <w:pPr>
        <w:pStyle w:val="ListParagraph"/>
        <w:rPr>
          <w:rFonts w:ascii="Arial" w:hAnsi="Arial" w:cs="Arial"/>
        </w:rPr>
      </w:pPr>
    </w:p>
    <w:p w14:paraId="52ACDEC6"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ICBs should align their commissioning intentions with these joined</w:t>
      </w:r>
      <w:r w:rsidRPr="00C865C3">
        <w:rPr>
          <w:rFonts w:ascii="Arial" w:hAnsi="Arial" w:cs="Arial"/>
        </w:rPr>
        <w:noBreakHyphen/>
        <w:t>up estates strategies, ensuring services are delivered across the full breadth of existing assets while identifying where physical infrastructure gaps remain.</w:t>
      </w:r>
    </w:p>
    <w:p w14:paraId="4CEB3895" w14:textId="77777777" w:rsidR="00E40BD4" w:rsidRPr="00C865C3" w:rsidRDefault="00E40BD4" w:rsidP="00C865C3">
      <w:pPr>
        <w:pStyle w:val="ListParagraph"/>
        <w:rPr>
          <w:rFonts w:ascii="Arial" w:hAnsi="Arial" w:cs="Arial"/>
        </w:rPr>
      </w:pPr>
    </w:p>
    <w:p w14:paraId="76E6801F" w14:textId="77777777" w:rsidR="00E40BD4" w:rsidRPr="00C865C3" w:rsidRDefault="00E40BD4" w:rsidP="00C865C3">
      <w:pPr>
        <w:pStyle w:val="ListParagraph"/>
        <w:numPr>
          <w:ilvl w:val="0"/>
          <w:numId w:val="51"/>
        </w:numPr>
        <w:spacing w:line="278" w:lineRule="auto"/>
        <w:rPr>
          <w:rFonts w:ascii="Arial" w:hAnsi="Arial" w:cs="Arial"/>
        </w:rPr>
      </w:pPr>
      <w:r w:rsidRPr="00C865C3">
        <w:rPr>
          <w:rFonts w:ascii="Arial" w:hAnsi="Arial" w:cs="Arial"/>
        </w:rPr>
        <w:t>This approach should be actively encouraged and rewarded by the centre, with greater flexibility in the rules attached to national capital and revenue allocations where areas can demonstrate high levels of integration in their physical infrastructure planning.</w:t>
      </w:r>
    </w:p>
    <w:p w14:paraId="03CE16DB" w14:textId="77777777" w:rsidR="00E40BD4" w:rsidRPr="00C865C3" w:rsidRDefault="00E40BD4" w:rsidP="00C865C3">
      <w:pPr>
        <w:rPr>
          <w:rFonts w:ascii="Arial" w:hAnsi="Arial" w:cs="Arial"/>
        </w:rPr>
      </w:pPr>
    </w:p>
    <w:p w14:paraId="4B7F29A1" w14:textId="142976FB" w:rsidR="00E40BD4" w:rsidRPr="00C865C3" w:rsidRDefault="00E40BD4" w:rsidP="00C865C3">
      <w:pPr>
        <w:pStyle w:val="ListParagraph"/>
        <w:numPr>
          <w:ilvl w:val="0"/>
          <w:numId w:val="44"/>
        </w:numPr>
        <w:rPr>
          <w:rFonts w:ascii="Arial" w:hAnsi="Arial" w:cs="Arial"/>
          <w:b/>
          <w:bCs/>
          <w:sz w:val="28"/>
          <w:szCs w:val="28"/>
        </w:rPr>
      </w:pPr>
      <w:r w:rsidRPr="00C865C3">
        <w:rPr>
          <w:rFonts w:ascii="Arial" w:hAnsi="Arial" w:cs="Arial"/>
          <w:b/>
          <w:bCs/>
          <w:sz w:val="28"/>
          <w:szCs w:val="28"/>
        </w:rPr>
        <w:t>What criteria should be used to prioritise the investment in the estate to enable it to deliver the Neighbourhood Health Service?       </w:t>
      </w:r>
    </w:p>
    <w:p w14:paraId="686CD762"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 xml:space="preserve">It is important that investment decisions </w:t>
      </w:r>
      <w:proofErr w:type="gramStart"/>
      <w:r w:rsidRPr="00C865C3">
        <w:rPr>
          <w:rFonts w:ascii="Arial" w:hAnsi="Arial" w:cs="Arial"/>
        </w:rPr>
        <w:t>take into account</w:t>
      </w:r>
      <w:proofErr w:type="gramEnd"/>
      <w:r w:rsidRPr="00C865C3">
        <w:rPr>
          <w:rFonts w:ascii="Arial" w:hAnsi="Arial" w:cs="Arial"/>
        </w:rPr>
        <w:t xml:space="preserve"> the needs of current populations, as well as future demographic changes and projected demand.</w:t>
      </w:r>
    </w:p>
    <w:p w14:paraId="328FB8E6" w14:textId="77777777" w:rsidR="00E40BD4" w:rsidRPr="00C865C3" w:rsidRDefault="00E40BD4" w:rsidP="00C865C3">
      <w:pPr>
        <w:pStyle w:val="ListParagraph"/>
        <w:rPr>
          <w:rFonts w:ascii="Arial" w:hAnsi="Arial" w:cs="Arial"/>
        </w:rPr>
      </w:pPr>
    </w:p>
    <w:p w14:paraId="4EB5116B"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It also makes sense for government to invest in the estate where there are good relationships across providers and consensus around how space will be used effectively across neighbourhoods, although investment should not be solely focussed here as it would run the risk of prioritising systems that are further ahead.</w:t>
      </w:r>
    </w:p>
    <w:p w14:paraId="136A02C0" w14:textId="77777777" w:rsidR="00E40BD4" w:rsidRPr="00C865C3" w:rsidRDefault="00E40BD4" w:rsidP="00C865C3">
      <w:pPr>
        <w:pStyle w:val="ListParagraph"/>
        <w:rPr>
          <w:rFonts w:ascii="Arial" w:hAnsi="Arial" w:cs="Arial"/>
        </w:rPr>
      </w:pPr>
    </w:p>
    <w:p w14:paraId="64F84129"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Investment should also be prioritised in underserved communities where there is unmet need.</w:t>
      </w:r>
    </w:p>
    <w:p w14:paraId="22E8B1B1" w14:textId="77777777" w:rsidR="00E40BD4" w:rsidRPr="00C865C3" w:rsidRDefault="00E40BD4" w:rsidP="00C865C3">
      <w:pPr>
        <w:rPr>
          <w:rFonts w:ascii="Arial" w:hAnsi="Arial" w:cs="Arial"/>
        </w:rPr>
      </w:pPr>
    </w:p>
    <w:p w14:paraId="0D4BD173" w14:textId="0FC679F8" w:rsidR="00E40BD4" w:rsidRPr="00C865C3" w:rsidRDefault="00E40BD4" w:rsidP="00C865C3">
      <w:pPr>
        <w:pStyle w:val="ListParagraph"/>
        <w:numPr>
          <w:ilvl w:val="0"/>
          <w:numId w:val="46"/>
        </w:numPr>
        <w:rPr>
          <w:rFonts w:ascii="Arial" w:hAnsi="Arial" w:cs="Arial"/>
          <w:b/>
          <w:bCs/>
          <w:sz w:val="28"/>
          <w:szCs w:val="28"/>
        </w:rPr>
      </w:pPr>
      <w:r w:rsidRPr="00C865C3">
        <w:rPr>
          <w:rFonts w:ascii="Arial" w:hAnsi="Arial" w:cs="Arial"/>
          <w:b/>
          <w:bCs/>
          <w:sz w:val="28"/>
          <w:szCs w:val="28"/>
        </w:rPr>
        <w:lastRenderedPageBreak/>
        <w:t>What lessons should Government take from previous private investment models when using Public-Private Partnerships?         </w:t>
      </w:r>
    </w:p>
    <w:p w14:paraId="30AEF1AF"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We have argued</w:t>
      </w:r>
      <w:r w:rsidRPr="00C865C3">
        <w:rPr>
          <w:rStyle w:val="FootnoteReference"/>
          <w:rFonts w:ascii="Arial" w:hAnsi="Arial" w:cs="Arial"/>
        </w:rPr>
        <w:footnoteReference w:id="6"/>
      </w:r>
      <w:r w:rsidRPr="00C865C3">
        <w:rPr>
          <w:rFonts w:ascii="Arial" w:hAnsi="Arial" w:cs="Arial"/>
        </w:rPr>
        <w:t xml:space="preserve"> that neighbourhood health centres should use </w:t>
      </w:r>
      <w:proofErr w:type="spellStart"/>
      <w:r w:rsidRPr="00C865C3">
        <w:rPr>
          <w:rFonts w:ascii="Arial" w:hAnsi="Arial" w:cs="Arial"/>
        </w:rPr>
        <w:t>LIFTCo</w:t>
      </w:r>
      <w:proofErr w:type="spellEnd"/>
      <w:r w:rsidRPr="00C865C3">
        <w:rPr>
          <w:rFonts w:ascii="Arial" w:hAnsi="Arial" w:cs="Arial"/>
        </w:rPr>
        <w:t xml:space="preserve"> – a private finance model used to develop community health centres in the same period that PFI was used for hospitals – as a basis for developing their model, including having ICBs represented on the relevant board. The preferred </w:t>
      </w:r>
      <w:proofErr w:type="spellStart"/>
      <w:r w:rsidRPr="00C865C3">
        <w:rPr>
          <w:rFonts w:ascii="Arial" w:hAnsi="Arial" w:cs="Arial"/>
        </w:rPr>
        <w:t>LIFTCo</w:t>
      </w:r>
      <w:proofErr w:type="spellEnd"/>
      <w:r w:rsidRPr="00C865C3">
        <w:rPr>
          <w:rFonts w:ascii="Arial" w:hAnsi="Arial" w:cs="Arial"/>
        </w:rPr>
        <w:t xml:space="preserve"> type model would be one that sees the site come into public ownership at the end of the contract.</w:t>
      </w:r>
    </w:p>
    <w:p w14:paraId="427A964C" w14:textId="77777777" w:rsidR="00E40BD4" w:rsidRPr="00C865C3" w:rsidRDefault="00E40BD4" w:rsidP="00C865C3">
      <w:pPr>
        <w:pStyle w:val="ListParagraph"/>
        <w:rPr>
          <w:rFonts w:ascii="Arial" w:hAnsi="Arial" w:cs="Arial"/>
        </w:rPr>
      </w:pPr>
    </w:p>
    <w:p w14:paraId="73E4C5A3"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 xml:space="preserve">The government can also look outside England to learn lessons about how PPPs can work effectively. In Wales, the </w:t>
      </w:r>
      <w:proofErr w:type="spellStart"/>
      <w:r w:rsidRPr="00C865C3">
        <w:rPr>
          <w:rFonts w:ascii="Arial" w:hAnsi="Arial" w:cs="Arial"/>
        </w:rPr>
        <w:t>Velindre</w:t>
      </w:r>
      <w:proofErr w:type="spellEnd"/>
      <w:r w:rsidRPr="00C865C3">
        <w:rPr>
          <w:rFonts w:ascii="Arial" w:hAnsi="Arial" w:cs="Arial"/>
        </w:rPr>
        <w:t xml:space="preserve"> Cancer Centre Mutual Investment Model (</w:t>
      </w:r>
      <w:proofErr w:type="spellStart"/>
      <w:r w:rsidRPr="00C865C3">
        <w:rPr>
          <w:rFonts w:ascii="Arial" w:hAnsi="Arial" w:cs="Arial"/>
        </w:rPr>
        <w:t>MiM</w:t>
      </w:r>
      <w:proofErr w:type="spellEnd"/>
      <w:r w:rsidRPr="00C865C3">
        <w:rPr>
          <w:rFonts w:ascii="Arial" w:hAnsi="Arial" w:cs="Arial"/>
        </w:rPr>
        <w:t>)</w:t>
      </w:r>
      <w:r w:rsidRPr="00C865C3">
        <w:rPr>
          <w:rStyle w:val="FootnoteReference"/>
          <w:rFonts w:ascii="Arial" w:hAnsi="Arial" w:cs="Arial"/>
        </w:rPr>
        <w:footnoteReference w:id="7"/>
      </w:r>
      <w:r w:rsidRPr="00C865C3">
        <w:rPr>
          <w:rFonts w:ascii="Arial" w:hAnsi="Arial" w:cs="Arial"/>
        </w:rPr>
        <w:t xml:space="preserve"> is a refinement of the traditional PPP model and demonstrates how a project can be off-balance-sheet while also addressing some of the perceived challenges of PFIs. </w:t>
      </w:r>
    </w:p>
    <w:p w14:paraId="2A7EEADD" w14:textId="77777777" w:rsidR="00E40BD4" w:rsidRPr="00C865C3" w:rsidRDefault="00E40BD4" w:rsidP="00C865C3">
      <w:pPr>
        <w:pStyle w:val="ListParagraph"/>
        <w:rPr>
          <w:rFonts w:ascii="Arial" w:hAnsi="Arial" w:cs="Arial"/>
        </w:rPr>
      </w:pPr>
    </w:p>
    <w:p w14:paraId="6204E272"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 xml:space="preserve">However, </w:t>
      </w:r>
      <w:proofErr w:type="spellStart"/>
      <w:r w:rsidRPr="00C865C3">
        <w:rPr>
          <w:rFonts w:ascii="Arial" w:hAnsi="Arial" w:cs="Arial"/>
        </w:rPr>
        <w:t>MiM</w:t>
      </w:r>
      <w:proofErr w:type="spellEnd"/>
      <w:r w:rsidRPr="00C865C3">
        <w:rPr>
          <w:rFonts w:ascii="Arial" w:hAnsi="Arial" w:cs="Arial"/>
        </w:rPr>
        <w:t xml:space="preserve"> models will need to include several sites packaged together to get sufficient scale. Individually, the administrative burden is too large relative to the size of the project.</w:t>
      </w:r>
    </w:p>
    <w:p w14:paraId="70701829" w14:textId="77777777" w:rsidR="00E40BD4" w:rsidRPr="00C865C3" w:rsidRDefault="00E40BD4" w:rsidP="00C865C3">
      <w:pPr>
        <w:pStyle w:val="ListParagraph"/>
        <w:rPr>
          <w:rFonts w:ascii="Arial" w:hAnsi="Arial" w:cs="Arial"/>
        </w:rPr>
      </w:pPr>
    </w:p>
    <w:p w14:paraId="175BDA8D"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 xml:space="preserve">In Wales, the government took a 15% equity stake via the Welsh Development Bank, representing an off-balance-sheet investment that addresses some of the criticisms with the PFI/2 model and still retains the private sector confidence to fill the remaining investment share. </w:t>
      </w:r>
    </w:p>
    <w:p w14:paraId="39DC1E3A" w14:textId="77777777" w:rsidR="00E40BD4" w:rsidRPr="00C865C3" w:rsidRDefault="00E40BD4" w:rsidP="00C865C3">
      <w:pPr>
        <w:pStyle w:val="ListParagraph"/>
        <w:rPr>
          <w:rFonts w:ascii="Arial" w:hAnsi="Arial" w:cs="Arial"/>
        </w:rPr>
      </w:pPr>
    </w:p>
    <w:p w14:paraId="4C806A17"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In England, existing government or quasi-government entities such as the National Wealth Fund or the National Infrastructure and Service Transformation Authority could have the expertise to structure and potentially provide the capital for such investments.</w:t>
      </w:r>
    </w:p>
    <w:p w14:paraId="7572D815" w14:textId="77777777" w:rsidR="00E40BD4" w:rsidRPr="00C865C3" w:rsidRDefault="00E40BD4" w:rsidP="00C865C3">
      <w:pPr>
        <w:pStyle w:val="ListParagraph"/>
        <w:rPr>
          <w:rFonts w:ascii="Arial" w:hAnsi="Arial" w:cs="Arial"/>
        </w:rPr>
      </w:pPr>
    </w:p>
    <w:p w14:paraId="51D894C4"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The Victorian Comprehensive Cancer Centre (VCCC) – an AU$1billion, 130,000 sqm development</w:t>
      </w:r>
      <w:r w:rsidRPr="00C865C3">
        <w:rPr>
          <w:rStyle w:val="FootnoteReference"/>
          <w:rFonts w:ascii="Arial" w:hAnsi="Arial" w:cs="Arial"/>
        </w:rPr>
        <w:footnoteReference w:id="8"/>
      </w:r>
      <w:r w:rsidRPr="00C865C3">
        <w:rPr>
          <w:rFonts w:ascii="Arial" w:hAnsi="Arial" w:cs="Arial"/>
        </w:rPr>
        <w:t xml:space="preserve"> – also offers an example of how to address contractual issues that plagued PFI and ensure appropriate risk management.</w:t>
      </w:r>
    </w:p>
    <w:p w14:paraId="7CCFF5D8" w14:textId="77777777" w:rsidR="00E40BD4" w:rsidRPr="00C865C3" w:rsidRDefault="00E40BD4" w:rsidP="00C865C3">
      <w:pPr>
        <w:pStyle w:val="ListParagraph"/>
        <w:rPr>
          <w:rFonts w:ascii="Arial" w:hAnsi="Arial" w:cs="Arial"/>
        </w:rPr>
      </w:pPr>
    </w:p>
    <w:p w14:paraId="51176D15"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Home to world-leading cancer research, clinical services and education facilities, it is a publicly owned and publicly operated PPP with the state entering a 25-year concession with Plenary Health to ensure the facility is available to the public sector provider of clinical and research services, Peter McCallum Hospital, and the wider VCCC.</w:t>
      </w:r>
    </w:p>
    <w:p w14:paraId="0AC0A429" w14:textId="77777777" w:rsidR="00E40BD4" w:rsidRPr="00C865C3" w:rsidRDefault="00E40BD4" w:rsidP="00C865C3">
      <w:pPr>
        <w:pStyle w:val="ListParagraph"/>
        <w:rPr>
          <w:rFonts w:ascii="Arial" w:hAnsi="Arial" w:cs="Arial"/>
        </w:rPr>
      </w:pPr>
    </w:p>
    <w:p w14:paraId="1B667118"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The VCCC has been contractually dispute-free since 2016 with the private sector responsible for a flexible building management regime and duties including utilities management, non-clinical cleaning, security and waste management.</w:t>
      </w:r>
    </w:p>
    <w:p w14:paraId="440D6209" w14:textId="77777777" w:rsidR="00E40BD4" w:rsidRPr="00C865C3" w:rsidRDefault="00E40BD4" w:rsidP="00C865C3">
      <w:pPr>
        <w:pStyle w:val="ListParagraph"/>
        <w:rPr>
          <w:rFonts w:ascii="Arial" w:hAnsi="Arial" w:cs="Arial"/>
        </w:rPr>
      </w:pPr>
    </w:p>
    <w:p w14:paraId="5076D593"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lastRenderedPageBreak/>
        <w:t>The government needs to ensure that new PPPs represent genuine value for money, both now and in the future. Crucially, NHS organisations need to be shielded from the revenue consequences of such schemes; this is something that has been an issue for legacy PFI trusts.</w:t>
      </w:r>
    </w:p>
    <w:p w14:paraId="79EC4E3A" w14:textId="77777777" w:rsidR="00E40BD4" w:rsidRPr="00C865C3" w:rsidRDefault="00E40BD4" w:rsidP="00C865C3">
      <w:pPr>
        <w:rPr>
          <w:rFonts w:ascii="Arial" w:hAnsi="Arial" w:cs="Arial"/>
        </w:rPr>
      </w:pPr>
    </w:p>
    <w:p w14:paraId="0B808437" w14:textId="439C4B89" w:rsidR="00E40BD4" w:rsidRPr="00C865C3" w:rsidRDefault="00E40BD4" w:rsidP="00C865C3">
      <w:pPr>
        <w:pStyle w:val="ListParagraph"/>
        <w:numPr>
          <w:ilvl w:val="0"/>
          <w:numId w:val="46"/>
        </w:numPr>
        <w:rPr>
          <w:rFonts w:ascii="Arial" w:hAnsi="Arial" w:cs="Arial"/>
          <w:b/>
          <w:bCs/>
          <w:sz w:val="28"/>
          <w:szCs w:val="28"/>
        </w:rPr>
      </w:pPr>
      <w:r w:rsidRPr="00C865C3">
        <w:rPr>
          <w:rFonts w:ascii="Arial" w:hAnsi="Arial" w:cs="Arial"/>
          <w:b/>
          <w:bCs/>
          <w:sz w:val="28"/>
          <w:szCs w:val="28"/>
        </w:rPr>
        <w:t>What are the non-financial barriers to more effective estate development and utilisation and how can they be addressed?  </w:t>
      </w:r>
    </w:p>
    <w:p w14:paraId="5C5CD712"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NHS leaders do not believe the planning system adequately accounts for the needs of the NHS. For instance, challenges within the planning system limit access to Section 106 and Community Infrastructure Levy (CIL) funding, which could otherwise support estate development. This is particularly pertinent to the ambulance sector because they are not formally recognised as infrastructure providers.</w:t>
      </w:r>
    </w:p>
    <w:p w14:paraId="70B3A401" w14:textId="77777777" w:rsidR="00E40BD4" w:rsidRPr="00C865C3" w:rsidRDefault="00E40BD4" w:rsidP="00C865C3">
      <w:pPr>
        <w:pStyle w:val="ListParagraph"/>
        <w:rPr>
          <w:rFonts w:ascii="Arial" w:hAnsi="Arial" w:cs="Arial"/>
        </w:rPr>
      </w:pPr>
    </w:p>
    <w:p w14:paraId="36A7ABBB"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A reformed planning process, bringing a universally accepted methodology for calculating the NHS’s requirements for Section 106 and CIL purposes, could make the amounts available through these means more reliable. Such a methodology could be based on the one that exists for securing developer contributions for education</w:t>
      </w:r>
      <w:r w:rsidRPr="00C865C3">
        <w:rPr>
          <w:rStyle w:val="FootnoteReference"/>
          <w:rFonts w:ascii="Arial" w:hAnsi="Arial" w:cs="Arial"/>
        </w:rPr>
        <w:footnoteReference w:id="9"/>
      </w:r>
      <w:r w:rsidRPr="00C865C3">
        <w:rPr>
          <w:rFonts w:ascii="Arial" w:hAnsi="Arial" w:cs="Arial"/>
        </w:rPr>
        <w:t>.</w:t>
      </w:r>
    </w:p>
    <w:p w14:paraId="5973F807" w14:textId="77777777" w:rsidR="00E40BD4" w:rsidRPr="00C865C3" w:rsidRDefault="00E40BD4" w:rsidP="00C865C3">
      <w:pPr>
        <w:pStyle w:val="ListParagraph"/>
        <w:rPr>
          <w:rFonts w:ascii="Arial" w:hAnsi="Arial" w:cs="Arial"/>
        </w:rPr>
      </w:pPr>
    </w:p>
    <w:p w14:paraId="50FF0F3D"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Complex and inflexible leasing arrangements can present additional barriers and lead to inter-organisational disputes over fundamental matters such as shared use of rooms or corridors. Using a ‘head lease’ model minimises this risk and avoids the complexity of a multi-organisational partnership which would require negotiating with a landlord and between providers at the same time. This has been done to good effect</w:t>
      </w:r>
      <w:r w:rsidRPr="00C865C3">
        <w:rPr>
          <w:rStyle w:val="FootnoteReference"/>
          <w:rFonts w:ascii="Arial" w:hAnsi="Arial" w:cs="Arial"/>
        </w:rPr>
        <w:footnoteReference w:id="10"/>
      </w:r>
      <w:r w:rsidRPr="00C865C3">
        <w:rPr>
          <w:rFonts w:ascii="Arial" w:hAnsi="Arial" w:cs="Arial"/>
        </w:rPr>
        <w:t xml:space="preserve"> at St George’s Neighbourhood Health Centre in Romford.</w:t>
      </w:r>
    </w:p>
    <w:p w14:paraId="63F88A2C" w14:textId="77777777" w:rsidR="00E40BD4" w:rsidRPr="00C865C3" w:rsidRDefault="00E40BD4" w:rsidP="00C865C3">
      <w:pPr>
        <w:pStyle w:val="ListParagraph"/>
        <w:rPr>
          <w:rFonts w:ascii="Arial" w:hAnsi="Arial" w:cs="Arial"/>
        </w:rPr>
      </w:pPr>
    </w:p>
    <w:p w14:paraId="50D9B338"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Governance complexity can also act as a barrier. Estate developments involving multiple organisations often face lengthy decision-making processes, sometimes threatening the viability of projects. To overcome this, clearer system-level leadership is needed, with ICBs convening partners, defining roles and establishing streamlined approval pathways.</w:t>
      </w:r>
    </w:p>
    <w:p w14:paraId="4ABD4123" w14:textId="77777777" w:rsidR="00E40BD4" w:rsidRPr="00C865C3" w:rsidRDefault="00E40BD4" w:rsidP="00C865C3">
      <w:pPr>
        <w:pStyle w:val="ListParagraph"/>
        <w:rPr>
          <w:rFonts w:ascii="Arial" w:hAnsi="Arial" w:cs="Arial"/>
        </w:rPr>
      </w:pPr>
    </w:p>
    <w:p w14:paraId="5978B4BA"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We have highlighted that the capital approval process currently moves too slowly and involves too many overlapping actors.</w:t>
      </w:r>
      <w:r w:rsidRPr="00C865C3">
        <w:rPr>
          <w:rStyle w:val="FootnoteReference"/>
          <w:rFonts w:ascii="Arial" w:hAnsi="Arial" w:cs="Arial"/>
        </w:rPr>
        <w:footnoteReference w:id="11"/>
      </w:r>
      <w:r w:rsidRPr="00C865C3">
        <w:rPr>
          <w:rFonts w:ascii="Arial" w:hAnsi="Arial" w:cs="Arial"/>
        </w:rPr>
        <w:t xml:space="preserve"> A streamlined approvals process for capital projects is needed, as is the devolving of more decision-making to system level, to enable more effective estate development and utilisation.</w:t>
      </w:r>
    </w:p>
    <w:p w14:paraId="06BA3BAF" w14:textId="77777777" w:rsidR="00E40BD4" w:rsidRPr="00C865C3" w:rsidRDefault="00E40BD4" w:rsidP="00C865C3">
      <w:pPr>
        <w:pStyle w:val="ListParagraph"/>
        <w:rPr>
          <w:rFonts w:ascii="Arial" w:hAnsi="Arial" w:cs="Arial"/>
        </w:rPr>
      </w:pPr>
    </w:p>
    <w:p w14:paraId="31906292"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We have also highlighted that NHS Property Services was created rapidly and inherited an extensive portfolio of premises, many of which had unsigned or no lease agreements and significant arrears.</w:t>
      </w:r>
      <w:r w:rsidRPr="00C865C3">
        <w:rPr>
          <w:rStyle w:val="FootnoteReference"/>
          <w:rFonts w:ascii="Arial" w:hAnsi="Arial" w:cs="Arial"/>
        </w:rPr>
        <w:footnoteReference w:id="12"/>
      </w:r>
      <w:r w:rsidRPr="00C865C3">
        <w:rPr>
          <w:rFonts w:ascii="Arial" w:hAnsi="Arial" w:cs="Arial"/>
        </w:rPr>
        <w:t xml:space="preserve"> Consequently, it has recovered significant sums from ICBs and trusts for </w:t>
      </w:r>
      <w:r w:rsidRPr="00C865C3">
        <w:rPr>
          <w:rFonts w:ascii="Arial" w:hAnsi="Arial" w:cs="Arial"/>
        </w:rPr>
        <w:lastRenderedPageBreak/>
        <w:t>empty space in leased buildings. We recommended that the assets be moved from NHS Property Services to local systems so they can optimise use of estate across different organisations.</w:t>
      </w:r>
    </w:p>
    <w:p w14:paraId="0B224526" w14:textId="77777777" w:rsidR="00E40BD4" w:rsidRPr="00C865C3" w:rsidRDefault="00E40BD4" w:rsidP="00C865C3">
      <w:pPr>
        <w:pStyle w:val="ListParagraph"/>
        <w:rPr>
          <w:rFonts w:ascii="Arial" w:hAnsi="Arial" w:cs="Arial"/>
        </w:rPr>
      </w:pPr>
    </w:p>
    <w:p w14:paraId="3CC36892"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With the above in mind, we welcome recent guidance</w:t>
      </w:r>
      <w:r w:rsidRPr="00C865C3">
        <w:rPr>
          <w:rStyle w:val="FootnoteReference"/>
          <w:rFonts w:ascii="Arial" w:hAnsi="Arial" w:cs="Arial"/>
        </w:rPr>
        <w:footnoteReference w:id="13"/>
      </w:r>
      <w:r w:rsidRPr="00C865C3">
        <w:rPr>
          <w:rFonts w:ascii="Arial" w:hAnsi="Arial" w:cs="Arial"/>
        </w:rPr>
        <w:t xml:space="preserve"> from DHSC supporting the voluntary transfer of properties from NHS Property Services to NHS trusts and foundation trusts, with the aim of placing assets with organisations best positioned to use them effectively, thus supporting integrated, localised care. We support trusts hosting a system-wide estates team with responsibility for overseeing one NHS estate, working closely with primary care and public and VCSE sector partners (and ideally beyond to wider public sector) and the ICB to ensure that the estate is aligned to overall strategy.</w:t>
      </w:r>
    </w:p>
    <w:p w14:paraId="2F8F717F" w14:textId="77777777" w:rsidR="00E40BD4" w:rsidRPr="00C865C3" w:rsidRDefault="00E40BD4" w:rsidP="00C865C3">
      <w:pPr>
        <w:pStyle w:val="ListParagraph"/>
        <w:rPr>
          <w:rFonts w:ascii="Arial" w:hAnsi="Arial" w:cs="Arial"/>
        </w:rPr>
      </w:pPr>
    </w:p>
    <w:p w14:paraId="2D01E16A"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Further ways to potentially address non-financial barriers to more effective estate development include the development of standard contracts for third party developments (e.g. ground leases, service concessions, managed services, etc.). Also, the provision of guidance from the centre on already available risk sharing models that work within established accounting rules should be considered.</w:t>
      </w:r>
      <w:r w:rsidRPr="00C865C3">
        <w:rPr>
          <w:rStyle w:val="FootnoteReference"/>
          <w:rFonts w:ascii="Arial" w:hAnsi="Arial" w:cs="Arial"/>
        </w:rPr>
        <w:footnoteReference w:id="14"/>
      </w:r>
    </w:p>
    <w:p w14:paraId="3C3175E7" w14:textId="77777777" w:rsidR="00E40BD4" w:rsidRPr="00C865C3" w:rsidRDefault="00E40BD4" w:rsidP="00C865C3">
      <w:pPr>
        <w:rPr>
          <w:rFonts w:ascii="Arial" w:hAnsi="Arial" w:cs="Arial"/>
        </w:rPr>
      </w:pPr>
    </w:p>
    <w:p w14:paraId="150381C9" w14:textId="743990F3" w:rsidR="00E40BD4" w:rsidRPr="00C865C3" w:rsidRDefault="00E40BD4" w:rsidP="00C865C3">
      <w:pPr>
        <w:pStyle w:val="ListParagraph"/>
        <w:numPr>
          <w:ilvl w:val="0"/>
          <w:numId w:val="47"/>
        </w:numPr>
        <w:rPr>
          <w:rFonts w:ascii="Arial" w:hAnsi="Arial" w:cs="Arial"/>
          <w:b/>
          <w:bCs/>
          <w:sz w:val="28"/>
          <w:szCs w:val="28"/>
        </w:rPr>
      </w:pPr>
      <w:r w:rsidRPr="00C865C3">
        <w:rPr>
          <w:rFonts w:ascii="Arial" w:hAnsi="Arial" w:cs="Arial"/>
          <w:b/>
          <w:bCs/>
          <w:sz w:val="28"/>
          <w:szCs w:val="28"/>
        </w:rPr>
        <w:t xml:space="preserve">What lessons can be taken from pilots of Neighbourhood Health Centres for the development of an NHS estate that supports the delivery of the Neighbourhood Health Service? </w:t>
      </w:r>
    </w:p>
    <w:p w14:paraId="4296B903"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Strong local leadership and flexibility will be essential and estates solutions must reflect local population needs rather than applying a uniform national model.</w:t>
      </w:r>
    </w:p>
    <w:p w14:paraId="2B447C63" w14:textId="77777777" w:rsidR="00E40BD4" w:rsidRPr="00C865C3" w:rsidRDefault="00E40BD4" w:rsidP="00C865C3">
      <w:pPr>
        <w:pStyle w:val="ListParagraph"/>
        <w:rPr>
          <w:rFonts w:ascii="Arial" w:hAnsi="Arial" w:cs="Arial"/>
        </w:rPr>
      </w:pPr>
    </w:p>
    <w:p w14:paraId="7D64A2B3"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Members we have spoken to believe that neighbourhood health estates must accommodate teams from multiple organisations and sectors, bringing health and care services together under one roof. This requires flexible, collaborative spaces, supported by smart technology, alongside single clinical rooms, to enable integrated teams to work together effectively.</w:t>
      </w:r>
    </w:p>
    <w:p w14:paraId="18C2AAD6" w14:textId="77777777" w:rsidR="00E40BD4" w:rsidRPr="00C865C3" w:rsidRDefault="00E40BD4" w:rsidP="00C865C3">
      <w:pPr>
        <w:pStyle w:val="ListParagraph"/>
        <w:rPr>
          <w:rFonts w:ascii="Arial" w:hAnsi="Arial" w:cs="Arial"/>
        </w:rPr>
      </w:pPr>
    </w:p>
    <w:p w14:paraId="7F208651"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Newer, high-quality LIFT estates could play a role in this but, as one member noted, these assets are often underutilised because local NHS organisations lack the expertise to drive occupancy. In some cases, above-market rents and inflexible PFI arrangements prevent full usage and are prohibitively costly and too time-consuming to support the developments of integrated neighbourhood teams. Unlocking the potential of LIFT and PFI estates, while addressing these constraints, should be a priority.</w:t>
      </w:r>
    </w:p>
    <w:p w14:paraId="1DCDC292" w14:textId="77777777" w:rsidR="00E40BD4" w:rsidRPr="00C865C3" w:rsidRDefault="00E40BD4" w:rsidP="00C865C3">
      <w:pPr>
        <w:pStyle w:val="ListParagraph"/>
        <w:rPr>
          <w:rFonts w:ascii="Arial" w:hAnsi="Arial" w:cs="Arial"/>
        </w:rPr>
      </w:pPr>
    </w:p>
    <w:p w14:paraId="79AE194D"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 xml:space="preserve">One acute and community healthcare leader we spoke to </w:t>
      </w:r>
      <w:proofErr w:type="gramStart"/>
      <w:r w:rsidRPr="00C865C3">
        <w:rPr>
          <w:rFonts w:ascii="Arial" w:hAnsi="Arial" w:cs="Arial"/>
        </w:rPr>
        <w:t>highlighted</w:t>
      </w:r>
      <w:proofErr w:type="gramEnd"/>
      <w:r w:rsidRPr="00C865C3">
        <w:rPr>
          <w:rFonts w:ascii="Arial" w:hAnsi="Arial" w:cs="Arial"/>
        </w:rPr>
        <w:t xml:space="preserve"> the potential of space-utilisation technology to support more efficient and dynamic use of the existing estates. </w:t>
      </w:r>
      <w:proofErr w:type="gramStart"/>
      <w:r w:rsidRPr="00C865C3">
        <w:rPr>
          <w:rFonts w:ascii="Arial" w:hAnsi="Arial" w:cs="Arial"/>
        </w:rPr>
        <w:t>In light of</w:t>
      </w:r>
      <w:proofErr w:type="gramEnd"/>
      <w:r w:rsidRPr="00C865C3">
        <w:rPr>
          <w:rFonts w:ascii="Arial" w:hAnsi="Arial" w:cs="Arial"/>
        </w:rPr>
        <w:t xml:space="preserve"> various ownership models, one member considered locally agreed ‘integrator’ arrangements to be the best way to ensure estates are used to their full potential within a given neighbourhood or locality. </w:t>
      </w:r>
    </w:p>
    <w:p w14:paraId="270D9D01" w14:textId="77777777" w:rsidR="00E40BD4" w:rsidRPr="00C865C3" w:rsidRDefault="00E40BD4" w:rsidP="00C865C3">
      <w:pPr>
        <w:pStyle w:val="ListParagraph"/>
        <w:rPr>
          <w:rFonts w:ascii="Arial" w:hAnsi="Arial" w:cs="Arial"/>
        </w:rPr>
      </w:pPr>
    </w:p>
    <w:p w14:paraId="504CF6EB"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Members we have spoken to have raised that a system-wide approach embedding the principles of a one public estate (OPE) approach could better support cross-sector collaboration and help ensure the neighbourhood model is not framed as an NHS</w:t>
      </w:r>
      <w:r w:rsidRPr="00C865C3">
        <w:rPr>
          <w:rFonts w:ascii="Cambria Math" w:hAnsi="Cambria Math" w:cs="Cambria Math"/>
        </w:rPr>
        <w:t>‑</w:t>
      </w:r>
      <w:r w:rsidRPr="00C865C3">
        <w:rPr>
          <w:rFonts w:ascii="Arial" w:hAnsi="Arial" w:cs="Arial"/>
        </w:rPr>
        <w:t xml:space="preserve">only endeavour, while reducing costs and enhancing efficiency. Such an approach could be used as a key initiative to support the neighbourhood estate and collaboration between the NHS and public sector partners. </w:t>
      </w:r>
    </w:p>
    <w:p w14:paraId="33A9811E" w14:textId="77777777" w:rsidR="00E40BD4" w:rsidRPr="00C865C3" w:rsidRDefault="00E40BD4" w:rsidP="00C865C3">
      <w:pPr>
        <w:pStyle w:val="ListParagraph"/>
        <w:rPr>
          <w:rFonts w:ascii="Arial" w:hAnsi="Arial" w:cs="Arial"/>
        </w:rPr>
      </w:pPr>
    </w:p>
    <w:p w14:paraId="08CB3D62"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An example</w:t>
      </w:r>
      <w:r w:rsidRPr="00C865C3">
        <w:rPr>
          <w:rStyle w:val="FootnoteReference"/>
          <w:rFonts w:ascii="Arial" w:hAnsi="Arial" w:cs="Arial"/>
        </w:rPr>
        <w:footnoteReference w:id="15"/>
      </w:r>
      <w:r w:rsidRPr="00C865C3">
        <w:rPr>
          <w:rFonts w:ascii="Arial" w:hAnsi="Arial" w:cs="Arial"/>
        </w:rPr>
        <w:t xml:space="preserve"> of where this has been done well is the Whitechapel Development Programme which will create a major life sciences</w:t>
      </w:r>
      <w:r w:rsidRPr="00C865C3">
        <w:rPr>
          <w:rFonts w:ascii="Arial" w:hAnsi="Arial" w:cs="Arial"/>
        </w:rPr>
        <w:noBreakHyphen/>
        <w:t>sciences cluster delivering new research, healthcare, industry, and community facilities. The programme addresses local deprivation by generating thousands of jobs, expanding skills and training, and attracting investment. The project strengthens collaboration between NHS, government, and academic partners while regenerating public spaces.</w:t>
      </w:r>
    </w:p>
    <w:p w14:paraId="77FE9823" w14:textId="77777777" w:rsidR="00E40BD4" w:rsidRPr="00C865C3" w:rsidRDefault="00E40BD4" w:rsidP="00C865C3">
      <w:pPr>
        <w:pStyle w:val="ListParagraph"/>
        <w:rPr>
          <w:rFonts w:ascii="Arial" w:hAnsi="Arial" w:cs="Arial"/>
        </w:rPr>
      </w:pPr>
    </w:p>
    <w:p w14:paraId="7D1F781D"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 xml:space="preserve">Community trusts also reported that changes to capital allocation processes have left them particularly constrained. Carefully designed private-sector partnerships could help address this, provided they prioritise affordability to the NHS and preserve local flexibility.  </w:t>
      </w:r>
    </w:p>
    <w:p w14:paraId="3B4FE50D" w14:textId="77777777" w:rsidR="00E40BD4" w:rsidRPr="00C865C3" w:rsidRDefault="00E40BD4" w:rsidP="00C865C3">
      <w:pPr>
        <w:pStyle w:val="ListParagraph"/>
        <w:rPr>
          <w:rFonts w:ascii="Arial" w:hAnsi="Arial" w:cs="Arial"/>
        </w:rPr>
      </w:pPr>
    </w:p>
    <w:p w14:paraId="0312E896"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Estates reform should not be conducted in isolation. Members pointed to previous examples of services moving into new shared community and primary care facilities and continuing to operate independently. Equal emphasis must be placed on service redesign to ensure that neighbourhood health estates genuinely enable new models of care, rather than housing old ways of working under one roof.</w:t>
      </w:r>
    </w:p>
    <w:p w14:paraId="07717333" w14:textId="77777777" w:rsidR="00E40BD4" w:rsidRPr="00C865C3" w:rsidRDefault="00E40BD4" w:rsidP="00C865C3">
      <w:pPr>
        <w:rPr>
          <w:rFonts w:ascii="Arial" w:hAnsi="Arial" w:cs="Arial"/>
        </w:rPr>
      </w:pPr>
    </w:p>
    <w:p w14:paraId="5DDD0DA1" w14:textId="05409EA9" w:rsidR="00E40BD4" w:rsidRPr="00C865C3" w:rsidRDefault="00E40BD4" w:rsidP="00C865C3">
      <w:pPr>
        <w:pStyle w:val="ListParagraph"/>
        <w:numPr>
          <w:ilvl w:val="0"/>
          <w:numId w:val="47"/>
        </w:numPr>
        <w:rPr>
          <w:rFonts w:ascii="Arial" w:hAnsi="Arial" w:cs="Arial"/>
          <w:b/>
          <w:bCs/>
          <w:sz w:val="28"/>
          <w:szCs w:val="28"/>
        </w:rPr>
      </w:pPr>
      <w:r w:rsidRPr="00C865C3">
        <w:rPr>
          <w:rFonts w:ascii="Arial" w:hAnsi="Arial" w:cs="Arial"/>
          <w:b/>
          <w:bCs/>
          <w:sz w:val="28"/>
          <w:szCs w:val="28"/>
        </w:rPr>
        <w:t>How could non-NHS settings or infrastructure be used to support the delivery of care in neighbourhood settings, and what arrangements would be needed to facilitate it?</w:t>
      </w:r>
    </w:p>
    <w:p w14:paraId="0460CE45"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Non-NHS infrastructure – including community and voluntary sector spaces, local authority buildings and private and commercial spaces such as pharmacies, high-street retail units and shopping centres – can expand capacity and improve access.</w:t>
      </w:r>
    </w:p>
    <w:p w14:paraId="10D5D0BC" w14:textId="77777777" w:rsidR="00E40BD4" w:rsidRPr="00C865C3" w:rsidRDefault="00E40BD4" w:rsidP="00C865C3">
      <w:pPr>
        <w:rPr>
          <w:rFonts w:ascii="Arial" w:hAnsi="Arial" w:cs="Arial"/>
        </w:rPr>
      </w:pPr>
    </w:p>
    <w:p w14:paraId="75B58174"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The success of this approach depends on factors including flexible contracting that enables delivery of services outside of the NHS estate, shared governance arrangements with partners, robust data sharing, quality and safety frameworks for community venues and long-term funding to sustain community partnerships.</w:t>
      </w:r>
    </w:p>
    <w:p w14:paraId="4F343214" w14:textId="77777777" w:rsidR="00E40BD4" w:rsidRPr="00C865C3" w:rsidRDefault="00E40BD4" w:rsidP="00C865C3">
      <w:pPr>
        <w:pStyle w:val="ListParagraph"/>
        <w:rPr>
          <w:rFonts w:ascii="Arial" w:hAnsi="Arial" w:cs="Arial"/>
        </w:rPr>
      </w:pPr>
    </w:p>
    <w:p w14:paraId="20721BAF"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An example of where a non-NHS setting is being used to support the delivery of care in a neighbourhood setting is Cornubia in Par Bay, Cornwall</w:t>
      </w:r>
      <w:r w:rsidRPr="00C865C3">
        <w:rPr>
          <w:rStyle w:val="FootnoteReference"/>
          <w:rFonts w:ascii="Arial" w:hAnsi="Arial" w:cs="Arial"/>
        </w:rPr>
        <w:footnoteReference w:id="16"/>
      </w:r>
      <w:r w:rsidRPr="00C865C3">
        <w:rPr>
          <w:rFonts w:ascii="Arial" w:hAnsi="Arial" w:cs="Arial"/>
        </w:rPr>
        <w:t xml:space="preserve">. A multi-purpose community hub providing space for film screenings, pottery classes and more, it hosts NHS clinics and social prescribing sessions, and a Warm Hub operates there. This is one of six areas we are working </w:t>
      </w:r>
      <w:r w:rsidRPr="00C865C3">
        <w:rPr>
          <w:rFonts w:ascii="Arial" w:hAnsi="Arial" w:cs="Arial"/>
        </w:rPr>
        <w:lastRenderedPageBreak/>
        <w:t>with in partnership with Local Trust as part of an action learning set</w:t>
      </w:r>
      <w:r w:rsidRPr="00C865C3">
        <w:rPr>
          <w:rStyle w:val="FootnoteReference"/>
          <w:rFonts w:ascii="Arial" w:hAnsi="Arial" w:cs="Arial"/>
        </w:rPr>
        <w:footnoteReference w:id="17"/>
      </w:r>
      <w:r w:rsidRPr="00C865C3">
        <w:rPr>
          <w:rFonts w:ascii="Arial" w:hAnsi="Arial" w:cs="Arial"/>
        </w:rPr>
        <w:t xml:space="preserve">. This has the added advantages of co-locating VCSE and NHS providers, supporting access to expertise and insights on community need, as well as supporting VCSE financial sustainability. </w:t>
      </w:r>
    </w:p>
    <w:p w14:paraId="549CCA10" w14:textId="77777777" w:rsidR="00E40BD4" w:rsidRPr="00C865C3" w:rsidRDefault="00E40BD4" w:rsidP="00C865C3">
      <w:pPr>
        <w:pStyle w:val="ListParagraph"/>
        <w:rPr>
          <w:rFonts w:ascii="Arial" w:hAnsi="Arial" w:cs="Arial"/>
        </w:rPr>
      </w:pPr>
    </w:p>
    <w:p w14:paraId="1E009837"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Another example is Northwood Together</w:t>
      </w:r>
      <w:r w:rsidRPr="00C865C3">
        <w:rPr>
          <w:rStyle w:val="FootnoteReference"/>
          <w:rFonts w:ascii="Arial" w:hAnsi="Arial" w:cs="Arial"/>
        </w:rPr>
        <w:footnoteReference w:id="18"/>
      </w:r>
      <w:r w:rsidRPr="00C865C3">
        <w:rPr>
          <w:rFonts w:ascii="Arial" w:hAnsi="Arial" w:cs="Arial"/>
        </w:rPr>
        <w:t xml:space="preserve"> – a resident-led initiative in a Liverpool neighbourhood, tackling social, economic and health inequalities. It focuses on community engagement, trust building and accessible support through activities, mental health programmes, weight management initiatives, volunteering and signposting to services.</w:t>
      </w:r>
    </w:p>
    <w:p w14:paraId="17DC25A3" w14:textId="77777777" w:rsidR="00E40BD4" w:rsidRPr="00C865C3" w:rsidRDefault="00E40BD4" w:rsidP="00C865C3">
      <w:pPr>
        <w:pStyle w:val="ListParagraph"/>
        <w:rPr>
          <w:rFonts w:ascii="Arial" w:hAnsi="Arial" w:cs="Arial"/>
        </w:rPr>
      </w:pPr>
    </w:p>
    <w:p w14:paraId="739CA5C5"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The use of empty high street units would also offer patients known and familiar locations for their care. We have argued</w:t>
      </w:r>
      <w:r w:rsidRPr="00C865C3">
        <w:rPr>
          <w:rStyle w:val="FootnoteReference"/>
          <w:rFonts w:ascii="Arial" w:hAnsi="Arial" w:cs="Arial"/>
        </w:rPr>
        <w:footnoteReference w:id="19"/>
      </w:r>
      <w:r w:rsidRPr="00C865C3">
        <w:rPr>
          <w:rFonts w:ascii="Arial" w:hAnsi="Arial" w:cs="Arial"/>
        </w:rPr>
        <w:t xml:space="preserve"> that planning and funding decisions taken at both national and local level and focussed on town centre regeneration need to </w:t>
      </w:r>
      <w:proofErr w:type="gramStart"/>
      <w:r w:rsidRPr="00C865C3">
        <w:rPr>
          <w:rFonts w:ascii="Arial" w:hAnsi="Arial" w:cs="Arial"/>
        </w:rPr>
        <w:t>take into account</w:t>
      </w:r>
      <w:proofErr w:type="gramEnd"/>
      <w:r w:rsidRPr="00C865C3">
        <w:rPr>
          <w:rFonts w:ascii="Arial" w:hAnsi="Arial" w:cs="Arial"/>
        </w:rPr>
        <w:t xml:space="preserve"> the impact on local health and health services and look for evidence that it has been considered when finalising developments. This should be made explicit in planning guidance.</w:t>
      </w:r>
    </w:p>
    <w:p w14:paraId="5B906250" w14:textId="77777777" w:rsidR="00E40BD4" w:rsidRPr="00C865C3" w:rsidRDefault="00E40BD4" w:rsidP="00C865C3">
      <w:pPr>
        <w:pStyle w:val="ListParagraph"/>
        <w:rPr>
          <w:rFonts w:ascii="Arial" w:hAnsi="Arial" w:cs="Arial"/>
        </w:rPr>
      </w:pPr>
    </w:p>
    <w:p w14:paraId="4D1878B2"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A trial</w:t>
      </w:r>
      <w:r w:rsidRPr="00C865C3">
        <w:rPr>
          <w:rStyle w:val="FootnoteReference"/>
          <w:rFonts w:ascii="Arial" w:hAnsi="Arial" w:cs="Arial"/>
        </w:rPr>
        <w:footnoteReference w:id="20"/>
      </w:r>
      <w:r w:rsidRPr="00C865C3">
        <w:rPr>
          <w:rFonts w:ascii="Arial" w:hAnsi="Arial" w:cs="Arial"/>
        </w:rPr>
        <w:t xml:space="preserve"> by Somerset NHS Foundation Trust using gymnasiums to provide physiotherapy could be considered for wider use. This makes good use of existing commercial space that requires no capital input from the NHS whilst simultaneously allowing for the redesign of a pathway affected by long waiting lists. </w:t>
      </w:r>
    </w:p>
    <w:p w14:paraId="3EDB1224" w14:textId="77777777" w:rsidR="00E40BD4" w:rsidRPr="00C865C3" w:rsidRDefault="00E40BD4" w:rsidP="00C865C3">
      <w:pPr>
        <w:pStyle w:val="ListParagraph"/>
        <w:rPr>
          <w:rFonts w:ascii="Arial" w:hAnsi="Arial" w:cs="Arial"/>
        </w:rPr>
      </w:pPr>
    </w:p>
    <w:p w14:paraId="7553C1DF"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One ICB estates lead we spoke to called for the formalising of the use of non-NHS estate as part of neighbourhood health networks, with longer-term agreements, quality standards, and integration with local regeneration and town-centre strategies.</w:t>
      </w:r>
    </w:p>
    <w:p w14:paraId="29417D34" w14:textId="77777777" w:rsidR="00E40BD4" w:rsidRPr="00C865C3" w:rsidRDefault="00E40BD4" w:rsidP="00C865C3">
      <w:pPr>
        <w:rPr>
          <w:rFonts w:ascii="Arial" w:hAnsi="Arial" w:cs="Arial"/>
        </w:rPr>
      </w:pPr>
    </w:p>
    <w:p w14:paraId="7D734D20" w14:textId="7A118B5B" w:rsidR="00E40BD4" w:rsidRPr="00C865C3" w:rsidRDefault="00E40BD4" w:rsidP="00C865C3">
      <w:pPr>
        <w:pStyle w:val="ListParagraph"/>
        <w:numPr>
          <w:ilvl w:val="0"/>
          <w:numId w:val="48"/>
        </w:numPr>
        <w:rPr>
          <w:rFonts w:ascii="Arial" w:hAnsi="Arial" w:cs="Arial"/>
          <w:b/>
          <w:bCs/>
          <w:sz w:val="28"/>
          <w:szCs w:val="28"/>
        </w:rPr>
      </w:pPr>
      <w:r w:rsidRPr="00C865C3">
        <w:rPr>
          <w:rFonts w:ascii="Arial" w:hAnsi="Arial" w:cs="Arial"/>
          <w:b/>
          <w:bCs/>
          <w:sz w:val="28"/>
          <w:szCs w:val="28"/>
        </w:rPr>
        <w:t>What are the challenges of delivering care services in these settings and how would they be addressed?     </w:t>
      </w:r>
    </w:p>
    <w:p w14:paraId="4B62CEDE"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One challenge is that VCSEs that are involved are sometimes viewed as a source of cheap space, with their expertise excluded from the wider design of services in their area. Supporting VCSEs will ultimately lead to them being financially more viable and in a position to work in conjunction with local health and care services over the longer term.</w:t>
      </w:r>
    </w:p>
    <w:p w14:paraId="28A6F96F" w14:textId="77777777" w:rsidR="00E40BD4" w:rsidRPr="00C865C3" w:rsidRDefault="00E40BD4" w:rsidP="00C865C3">
      <w:pPr>
        <w:ind w:left="360"/>
        <w:rPr>
          <w:rFonts w:ascii="Arial" w:hAnsi="Arial" w:cs="Arial"/>
        </w:rPr>
      </w:pPr>
    </w:p>
    <w:p w14:paraId="28BBE88C"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 xml:space="preserve">There would also be challenges including around quality and safety, as well as issues around information governance and potentially fragmented ownership of such settings. On quality and safety, any potential non-NHS space would have to be assessed on what care could be provided there, rather than a one-size fits all check list. A private, hygienic space that could allow for, say, outpatient appointments, could meet a lot of the needs of a neighbourhood health service without meeting the standards required of an acute hospital. On information governance, any agreement would have to allow NHS systems to be installed wholesale to manage data, potentially including </w:t>
      </w:r>
      <w:r w:rsidRPr="00C865C3">
        <w:rPr>
          <w:rFonts w:ascii="Arial" w:hAnsi="Arial" w:cs="Arial"/>
        </w:rPr>
        <w:lastRenderedPageBreak/>
        <w:t xml:space="preserve">enhancing telecoms linkages to meet NHS standards. On ownership issues, the NHS could offer long leases, which would be attractive to local authorities and owners of empty retail outlets.   </w:t>
      </w:r>
    </w:p>
    <w:p w14:paraId="4BD518CD" w14:textId="77777777" w:rsidR="00E40BD4" w:rsidRPr="00C865C3" w:rsidRDefault="00E40BD4" w:rsidP="00C865C3">
      <w:pPr>
        <w:pStyle w:val="ListParagraph"/>
        <w:rPr>
          <w:rFonts w:ascii="Arial" w:hAnsi="Arial" w:cs="Arial"/>
        </w:rPr>
      </w:pPr>
    </w:p>
    <w:p w14:paraId="4925576D"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In the use of high street units being re-purposed, NHS organisations would need robust guidance around relevant planning laws, and there would likely be some fit out costs, although this could cost less than building a brand-new facility.</w:t>
      </w:r>
    </w:p>
    <w:p w14:paraId="3897BA1A" w14:textId="77777777" w:rsidR="00E40BD4" w:rsidRPr="00C865C3" w:rsidRDefault="00E40BD4" w:rsidP="00C865C3">
      <w:pPr>
        <w:pStyle w:val="ListParagraph"/>
        <w:rPr>
          <w:rFonts w:ascii="Arial" w:hAnsi="Arial" w:cs="Arial"/>
        </w:rPr>
      </w:pPr>
    </w:p>
    <w:p w14:paraId="2FCB588E"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Challenges remain around the use of Section 75 of the NHS Act, and we have argued for reform in this area to enable greater integration and pooled budgets across providers.</w:t>
      </w:r>
      <w:r w:rsidRPr="00C865C3">
        <w:rPr>
          <w:rStyle w:val="FootnoteReference"/>
          <w:rFonts w:ascii="Arial" w:hAnsi="Arial" w:cs="Arial"/>
        </w:rPr>
        <w:footnoteReference w:id="21"/>
      </w:r>
      <w:r w:rsidRPr="00C865C3">
        <w:rPr>
          <w:rFonts w:ascii="Arial" w:hAnsi="Arial" w:cs="Arial"/>
        </w:rPr>
        <w:t xml:space="preserve"> This would involve allowing a greater scope of organisations that can pool budgets and greater scope for services provided.</w:t>
      </w:r>
    </w:p>
    <w:p w14:paraId="271102A6" w14:textId="77777777" w:rsidR="00E40BD4" w:rsidRPr="00C865C3" w:rsidRDefault="00E40BD4" w:rsidP="00C865C3">
      <w:pPr>
        <w:rPr>
          <w:rFonts w:ascii="Arial" w:hAnsi="Arial" w:cs="Arial"/>
        </w:rPr>
      </w:pPr>
    </w:p>
    <w:p w14:paraId="47BC3DB2" w14:textId="231744DE" w:rsidR="00E40BD4" w:rsidRPr="00C865C3" w:rsidRDefault="00E40BD4" w:rsidP="00C865C3">
      <w:pPr>
        <w:pStyle w:val="ListParagraph"/>
        <w:numPr>
          <w:ilvl w:val="0"/>
          <w:numId w:val="49"/>
        </w:numPr>
        <w:rPr>
          <w:rFonts w:ascii="Arial" w:hAnsi="Arial" w:cs="Arial"/>
          <w:b/>
          <w:bCs/>
          <w:sz w:val="28"/>
          <w:szCs w:val="28"/>
        </w:rPr>
      </w:pPr>
      <w:r w:rsidRPr="00C865C3">
        <w:rPr>
          <w:rFonts w:ascii="Arial" w:hAnsi="Arial" w:cs="Arial"/>
          <w:b/>
          <w:bCs/>
          <w:sz w:val="28"/>
          <w:szCs w:val="28"/>
        </w:rPr>
        <w:t>How can local communities and the workforce best be involved in the planning and design of estate transformation for the Neighbourhood Health Service?         </w:t>
      </w:r>
    </w:p>
    <w:p w14:paraId="1B97A517"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It is essential that patients and staff are involved in the planning and design of the estates. One ICB estates lead told us that this is already happening in their area: the ICB looks at population need and experiential feedback and then commissions services and reconfigures the estate accordingly.</w:t>
      </w:r>
    </w:p>
    <w:p w14:paraId="23A52B83" w14:textId="77777777" w:rsidR="00E40BD4" w:rsidRPr="00C865C3" w:rsidRDefault="00E40BD4" w:rsidP="00C865C3">
      <w:pPr>
        <w:rPr>
          <w:rFonts w:ascii="Arial" w:hAnsi="Arial" w:cs="Arial"/>
        </w:rPr>
      </w:pPr>
    </w:p>
    <w:p w14:paraId="1283175C"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Providers should be encouraged to engage local communities in planning neighbourhood health centres, as understanding the needs of patients and the public and the barriers they face is essential for designing effective, accessible services.</w:t>
      </w:r>
    </w:p>
    <w:p w14:paraId="4A23E4EF" w14:textId="77777777" w:rsidR="00E40BD4" w:rsidRPr="00C865C3" w:rsidRDefault="00E40BD4" w:rsidP="00C865C3">
      <w:pPr>
        <w:pStyle w:val="ListParagraph"/>
        <w:rPr>
          <w:rFonts w:ascii="Arial" w:hAnsi="Arial" w:cs="Arial"/>
        </w:rPr>
      </w:pPr>
    </w:p>
    <w:p w14:paraId="5E128DB9"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One example of where this has happened to good effect is reflected in Chesterfield Partnerships &amp; Neighbourhood Alliance’s work</w:t>
      </w:r>
      <w:r w:rsidRPr="00C865C3">
        <w:rPr>
          <w:rStyle w:val="FootnoteReference"/>
          <w:rFonts w:ascii="Arial" w:hAnsi="Arial" w:cs="Arial"/>
        </w:rPr>
        <w:footnoteReference w:id="22"/>
      </w:r>
      <w:r w:rsidRPr="00C865C3">
        <w:rPr>
          <w:rFonts w:ascii="Arial" w:hAnsi="Arial" w:cs="Arial"/>
        </w:rPr>
        <w:t>, with local community leaders and volunteers delivering health services into the newly refurbished Barrow Hill Memorial Hall, which is based within one of the most deprived neighbourhoods in Chesterfield. The local community and Barrow Hill Community Trust successfully raised the funding required to renovate the hall, with additional support from regeneration funding from the local council. It is intended that the hall will become established as a vital hub for community events and holistic support, with a local member GP practice taking on the lease for two ‘health rooms’ within the hall.</w:t>
      </w:r>
    </w:p>
    <w:p w14:paraId="08D3D770" w14:textId="77777777" w:rsidR="00E40BD4" w:rsidRPr="00C865C3" w:rsidRDefault="00E40BD4" w:rsidP="00C865C3">
      <w:pPr>
        <w:pStyle w:val="ListParagraph"/>
        <w:rPr>
          <w:rFonts w:ascii="Arial" w:hAnsi="Arial" w:cs="Arial"/>
        </w:rPr>
      </w:pPr>
    </w:p>
    <w:p w14:paraId="41FCA660"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Neighbourhood Boards overseeing Pride in Place initiatives offers a clear avenue through which to engage with local communities and align funding streams.</w:t>
      </w:r>
    </w:p>
    <w:p w14:paraId="14877DAE" w14:textId="77777777" w:rsidR="00E40BD4" w:rsidRPr="00C865C3" w:rsidRDefault="00E40BD4" w:rsidP="00C865C3">
      <w:pPr>
        <w:pStyle w:val="ListParagraph"/>
        <w:rPr>
          <w:rFonts w:ascii="Arial" w:hAnsi="Arial" w:cs="Arial"/>
        </w:rPr>
      </w:pPr>
    </w:p>
    <w:p w14:paraId="2CED36A8"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t>The VCSE sector has a crucial role to play in the planning and design of estate transformation. Their deep roots in local communities, flexibility and ability to build trusted relationships make them essential partners in designing and delivering care that reflects local priorities and the lived experiences of those they serve in accessible and suitable locations.</w:t>
      </w:r>
    </w:p>
    <w:p w14:paraId="23569896" w14:textId="77777777" w:rsidR="00E40BD4" w:rsidRPr="00C865C3" w:rsidRDefault="00E40BD4" w:rsidP="00C865C3">
      <w:pPr>
        <w:pStyle w:val="ListParagraph"/>
        <w:rPr>
          <w:rFonts w:ascii="Arial" w:hAnsi="Arial" w:cs="Arial"/>
        </w:rPr>
      </w:pPr>
    </w:p>
    <w:p w14:paraId="4C2865E5" w14:textId="77777777" w:rsidR="00E40BD4" w:rsidRPr="00C865C3" w:rsidRDefault="00E40BD4" w:rsidP="00C865C3">
      <w:pPr>
        <w:pStyle w:val="ListParagraph"/>
        <w:numPr>
          <w:ilvl w:val="0"/>
          <w:numId w:val="51"/>
        </w:numPr>
        <w:rPr>
          <w:rFonts w:ascii="Arial" w:hAnsi="Arial" w:cs="Arial"/>
        </w:rPr>
      </w:pPr>
      <w:r w:rsidRPr="00C865C3">
        <w:rPr>
          <w:rFonts w:ascii="Arial" w:hAnsi="Arial" w:cs="Arial"/>
        </w:rPr>
        <w:lastRenderedPageBreak/>
        <w:t>The ongoing involvement of the workforce, too, is vitally important so that we end up in a position where it is straightforward for co-located staff to reach out to colleagues in other teams on the same clinical pathway and that shared spaces enable staff to work collaboratively so that working in isolation can be reduced.</w:t>
      </w:r>
    </w:p>
    <w:p w14:paraId="44D9CCE5" w14:textId="77777777" w:rsidR="00E40BD4" w:rsidRPr="00C865C3" w:rsidRDefault="00E40BD4" w:rsidP="00C865C3">
      <w:pPr>
        <w:rPr>
          <w:rFonts w:ascii="Arial" w:hAnsi="Arial" w:cs="Arial"/>
        </w:rPr>
      </w:pPr>
    </w:p>
    <w:p w14:paraId="0ABCA93F" w14:textId="7CC6F022" w:rsidR="00E40BD4" w:rsidRPr="00C865C3" w:rsidRDefault="00E40BD4" w:rsidP="00C865C3">
      <w:pPr>
        <w:pStyle w:val="ListParagraph"/>
        <w:numPr>
          <w:ilvl w:val="0"/>
          <w:numId w:val="50"/>
        </w:numPr>
        <w:rPr>
          <w:rFonts w:ascii="Arial" w:hAnsi="Arial" w:cs="Arial"/>
          <w:b/>
          <w:bCs/>
          <w:sz w:val="28"/>
          <w:szCs w:val="28"/>
        </w:rPr>
      </w:pPr>
      <w:r w:rsidRPr="00C865C3">
        <w:rPr>
          <w:rFonts w:ascii="Arial" w:hAnsi="Arial" w:cs="Arial"/>
          <w:b/>
          <w:bCs/>
          <w:sz w:val="28"/>
          <w:szCs w:val="28"/>
        </w:rPr>
        <w:t>How should the estate be designed to meet the needs of different communities, including those based in rural or coastal settings?  </w:t>
      </w:r>
    </w:p>
    <w:p w14:paraId="02B57EE0" w14:textId="77777777" w:rsidR="00E40BD4" w:rsidRPr="00C865C3" w:rsidRDefault="00E40BD4" w:rsidP="00C865C3">
      <w:pPr>
        <w:pStyle w:val="ListParagraph"/>
        <w:numPr>
          <w:ilvl w:val="0"/>
          <w:numId w:val="51"/>
        </w:numPr>
        <w:rPr>
          <w:rFonts w:ascii="Arial" w:eastAsia="Segoe UI" w:hAnsi="Arial" w:cs="Arial"/>
        </w:rPr>
      </w:pPr>
      <w:r w:rsidRPr="00C865C3">
        <w:rPr>
          <w:rFonts w:ascii="Arial" w:eastAsia="Segoe UI" w:hAnsi="Arial" w:cs="Arial"/>
        </w:rPr>
        <w:t>Local leaders will be best placed to adapt and develop the estate to best reflect the needs of their communities. ICBs should be given the autonomy, flexibility and long-term certainty to enable strategic planning that delivers the best outcomes for their populations.</w:t>
      </w:r>
    </w:p>
    <w:p w14:paraId="07D11891" w14:textId="77777777" w:rsidR="00E40BD4" w:rsidRPr="00C865C3" w:rsidRDefault="00E40BD4" w:rsidP="00C865C3">
      <w:pPr>
        <w:pStyle w:val="ListParagraph"/>
        <w:rPr>
          <w:rFonts w:ascii="Arial" w:eastAsia="Segoe UI" w:hAnsi="Arial" w:cs="Arial"/>
        </w:rPr>
      </w:pPr>
    </w:p>
    <w:p w14:paraId="7BA82733" w14:textId="77777777" w:rsidR="00E40BD4" w:rsidRPr="00C865C3" w:rsidRDefault="00E40BD4" w:rsidP="00C865C3">
      <w:pPr>
        <w:pStyle w:val="ListParagraph"/>
        <w:numPr>
          <w:ilvl w:val="0"/>
          <w:numId w:val="51"/>
        </w:numPr>
        <w:rPr>
          <w:rFonts w:ascii="Arial" w:eastAsia="Segoe UI" w:hAnsi="Arial" w:cs="Arial"/>
        </w:rPr>
      </w:pPr>
      <w:r w:rsidRPr="00C865C3">
        <w:rPr>
          <w:rFonts w:ascii="Arial" w:hAnsi="Arial" w:cs="Arial"/>
        </w:rPr>
        <w:t xml:space="preserve">Certainly, the NHS taking a different approach to where clinical care is delivered – holding clinics in pharmacies, town halls or local government buildings, for example – would help improve coverage and reduce health inequalities for communities that struggle to access NHS services, particularly in rural areas with high levels of unmet need. In </w:t>
      </w:r>
      <w:proofErr w:type="gramStart"/>
      <w:r w:rsidRPr="00C865C3">
        <w:rPr>
          <w:rFonts w:ascii="Arial" w:hAnsi="Arial" w:cs="Arial"/>
        </w:rPr>
        <w:t>a number of</w:t>
      </w:r>
      <w:proofErr w:type="gramEnd"/>
      <w:r w:rsidRPr="00C865C3">
        <w:rPr>
          <w:rFonts w:ascii="Arial" w:hAnsi="Arial" w:cs="Arial"/>
        </w:rPr>
        <w:t xml:space="preserve"> areas, primary care networks are utilising estate in their communities to offer healthcare services to farmers and fishermen. Local authorities in many places are seeking to offload much of their estate and could welcome a reliable, long-term lease by the NHS.</w:t>
      </w:r>
    </w:p>
    <w:p w14:paraId="7CF4CD05" w14:textId="77777777" w:rsidR="00E40BD4" w:rsidRPr="00C865C3" w:rsidRDefault="00E40BD4" w:rsidP="00C865C3">
      <w:pPr>
        <w:pStyle w:val="ListParagraph"/>
        <w:rPr>
          <w:rFonts w:ascii="Arial" w:hAnsi="Arial" w:cs="Arial"/>
        </w:rPr>
      </w:pPr>
    </w:p>
    <w:p w14:paraId="566A3353" w14:textId="77777777" w:rsidR="00E40BD4" w:rsidRPr="00C865C3" w:rsidRDefault="00E40BD4" w:rsidP="00C865C3">
      <w:pPr>
        <w:pStyle w:val="ListParagraph"/>
        <w:numPr>
          <w:ilvl w:val="0"/>
          <w:numId w:val="51"/>
        </w:numPr>
        <w:rPr>
          <w:rFonts w:ascii="Arial" w:eastAsia="Segoe UI" w:hAnsi="Arial" w:cs="Arial"/>
        </w:rPr>
      </w:pPr>
      <w:r w:rsidRPr="00C865C3">
        <w:rPr>
          <w:rFonts w:ascii="Arial" w:hAnsi="Arial" w:cs="Arial"/>
        </w:rPr>
        <w:t>Systems will require a detailed understanding of where capacity exists to build or adapt space. In rural areas, this might mean whole-day rental of, say, a village or church hall to keep services as localised as possible. The loss of so many rural pubs in the last two decades also provides an opportunity for the NHS to occupy a central location in many communities.</w:t>
      </w:r>
    </w:p>
    <w:p w14:paraId="433FD064" w14:textId="77777777" w:rsidR="00E40BD4" w:rsidRPr="00C865C3" w:rsidRDefault="00E40BD4" w:rsidP="00C865C3">
      <w:pPr>
        <w:pStyle w:val="ListParagraph"/>
        <w:rPr>
          <w:rFonts w:ascii="Arial" w:hAnsi="Arial" w:cs="Arial"/>
        </w:rPr>
      </w:pPr>
    </w:p>
    <w:p w14:paraId="2A821FFC" w14:textId="20D31DD0" w:rsidR="00E30373" w:rsidRPr="00C865C3" w:rsidRDefault="00E40BD4" w:rsidP="00C865C3">
      <w:pPr>
        <w:pStyle w:val="ListParagraph"/>
        <w:numPr>
          <w:ilvl w:val="0"/>
          <w:numId w:val="51"/>
        </w:numPr>
        <w:rPr>
          <w:rFonts w:ascii="Arial" w:eastAsia="Segoe UI" w:hAnsi="Arial" w:cs="Arial"/>
        </w:rPr>
      </w:pPr>
      <w:r w:rsidRPr="00C865C3">
        <w:rPr>
          <w:rFonts w:ascii="Arial" w:hAnsi="Arial" w:cs="Arial"/>
        </w:rPr>
        <w:t>The approach taken in Cornwall and Isles of Scilly ICB area shows how an estate in a rural setting can be adapted and reshaped to deliver services in a way that meets local need.</w:t>
      </w:r>
      <w:r w:rsidRPr="00C865C3">
        <w:rPr>
          <w:rStyle w:val="FootnoteReference"/>
          <w:rFonts w:ascii="Arial" w:hAnsi="Arial" w:cs="Arial"/>
        </w:rPr>
        <w:footnoteReference w:id="23"/>
      </w:r>
      <w:r w:rsidRPr="00C865C3">
        <w:rPr>
          <w:rFonts w:ascii="Arial" w:hAnsi="Arial" w:cs="Arial"/>
        </w:rPr>
        <w:t xml:space="preserve"> With limited transport links and undersized primary care buildings, partners repurposed vacant rooms across community hospitals and larger GP practices to create small urgent care hubs close to patients. The ICB coordinated site selection, using data to track void space and ensure good access. By removing leasing barriers and offering space at no extra cost, the system enabled flexible, rapid expansion of primary care capacity.</w:t>
      </w:r>
    </w:p>
    <w:sectPr w:rsidR="00E30373" w:rsidRPr="00C865C3" w:rsidSect="004A4DEF">
      <w:headerReference w:type="default" r:id="rId13"/>
      <w:footerReference w:type="default" r:id="rId14"/>
      <w:headerReference w:type="first" r:id="rId15"/>
      <w:footerReference w:type="first" r:id="rId16"/>
      <w:pgSz w:w="11906" w:h="16838" w:code="9"/>
      <w:pgMar w:top="1985" w:right="851" w:bottom="1021" w:left="851"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9CE8" w14:textId="77777777" w:rsidR="007A0510" w:rsidRDefault="007A0510" w:rsidP="006234C6">
      <w:pPr>
        <w:spacing w:line="240" w:lineRule="auto"/>
      </w:pPr>
      <w:r>
        <w:separator/>
      </w:r>
    </w:p>
    <w:p w14:paraId="3E9B1C7D" w14:textId="77777777" w:rsidR="007A0510" w:rsidRDefault="007A0510"/>
  </w:endnote>
  <w:endnote w:type="continuationSeparator" w:id="0">
    <w:p w14:paraId="3619BACD" w14:textId="77777777" w:rsidR="007A0510" w:rsidRDefault="007A0510" w:rsidP="006234C6">
      <w:pPr>
        <w:spacing w:line="240" w:lineRule="auto"/>
      </w:pPr>
      <w:r>
        <w:continuationSeparator/>
      </w:r>
    </w:p>
    <w:p w14:paraId="14201AB9" w14:textId="77777777" w:rsidR="007A0510" w:rsidRDefault="007A0510"/>
  </w:endnote>
  <w:endnote w:type="continuationNotice" w:id="1">
    <w:p w14:paraId="625B2DAE" w14:textId="77777777" w:rsidR="007A0510" w:rsidRDefault="007A05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ExtraBold">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UI Light">
    <w:charset w:val="80"/>
    <w:family w:val="swiss"/>
    <w:pitch w:val="variable"/>
    <w:sig w:usb0="E00002FF" w:usb1="2AC7FDFF" w:usb2="00000016" w:usb3="00000000" w:csb0="0002009F" w:csb1="00000000"/>
  </w:font>
  <w:font w:name="Yu Gothic UI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C31B" w14:textId="77777777" w:rsidR="0031782F" w:rsidRDefault="0031782F" w:rsidP="00116086">
    <w:pPr>
      <w:pStyle w:val="Footer"/>
      <w:jc w:val="right"/>
      <w:rPr>
        <w:rFonts w:ascii="Myriad Pro" w:hAnsi="Myriad Pro"/>
        <w:color w:val="445054"/>
        <w:sz w:val="16"/>
        <w:szCs w:val="16"/>
      </w:rPr>
    </w:pPr>
  </w:p>
  <w:p w14:paraId="54A8B5E7" w14:textId="77777777" w:rsidR="0031782F" w:rsidRPr="00D73CBE" w:rsidRDefault="007327E4" w:rsidP="007327E4">
    <w:pPr>
      <w:pStyle w:val="Footer"/>
      <w:rPr>
        <w:rFonts w:ascii="Myriad Pro" w:hAnsi="Myriad Pro"/>
        <w:color w:val="778186"/>
        <w:sz w:val="16"/>
        <w:szCs w:val="16"/>
      </w:rPr>
    </w:pPr>
    <w:r w:rsidRPr="004E0B82">
      <w:rPr>
        <w:color w:val="778186"/>
        <w:sz w:val="16"/>
        <w:szCs w:val="16"/>
      </w:rPr>
      <w:t xml:space="preserve">Page </w:t>
    </w:r>
    <w:r>
      <w:fldChar w:fldCharType="begin"/>
    </w:r>
    <w:r>
      <w:instrText xml:space="preserve"> PAGE   \* MERGEFORMAT </w:instrText>
    </w:r>
    <w:r>
      <w:fldChar w:fldCharType="separate"/>
    </w:r>
    <w:r w:rsidR="003A6EA7" w:rsidRPr="003A6EA7">
      <w:rPr>
        <w:bCs/>
        <w:noProof/>
        <w:color w:val="778186"/>
        <w:sz w:val="16"/>
        <w:szCs w:val="16"/>
      </w:rPr>
      <w:t>2</w:t>
    </w:r>
    <w:r>
      <w:rPr>
        <w:bCs/>
        <w:noProof/>
        <w:color w:val="77818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FD2F" w14:textId="77777777" w:rsidR="0031782F" w:rsidRPr="00D73CBE" w:rsidRDefault="007327E4" w:rsidP="004A4DEF">
    <w:pPr>
      <w:pStyle w:val="Footer"/>
      <w:rPr>
        <w:rFonts w:ascii="Myriad Pro" w:hAnsi="Myriad Pro"/>
        <w:color w:val="778186"/>
        <w:sz w:val="16"/>
        <w:szCs w:val="16"/>
      </w:rPr>
    </w:pPr>
    <w:r w:rsidRPr="004E0B82">
      <w:rPr>
        <w:color w:val="778186"/>
        <w:sz w:val="16"/>
        <w:szCs w:val="16"/>
      </w:rPr>
      <w:t xml:space="preserve">Page </w:t>
    </w:r>
    <w:r>
      <w:fldChar w:fldCharType="begin"/>
    </w:r>
    <w:r>
      <w:instrText xml:space="preserve"> PAGE   \* MERGEFORMAT </w:instrText>
    </w:r>
    <w:r>
      <w:fldChar w:fldCharType="separate"/>
    </w:r>
    <w:r w:rsidR="003A6EA7" w:rsidRPr="003A6EA7">
      <w:rPr>
        <w:bCs/>
        <w:noProof/>
        <w:color w:val="778186"/>
        <w:sz w:val="16"/>
        <w:szCs w:val="16"/>
      </w:rPr>
      <w:t>1</w:t>
    </w:r>
    <w:r>
      <w:rPr>
        <w:bCs/>
        <w:noProof/>
        <w:color w:val="778186"/>
        <w:sz w:val="16"/>
        <w:szCs w:val="16"/>
      </w:rPr>
      <w:fldChar w:fldCharType="end"/>
    </w:r>
    <w:r w:rsidR="0031782F">
      <w:rPr>
        <w:rFonts w:ascii="Myriad Pro" w:hAnsi="Myriad Pro"/>
        <w:b/>
        <w:color w:val="BF0442"/>
        <w:sz w:val="16"/>
        <w:szCs w:val="16"/>
      </w:rPr>
      <w:tab/>
    </w:r>
    <w:r w:rsidR="0031782F">
      <w:rPr>
        <w:rFonts w:ascii="Myriad Pro" w:hAnsi="Myriad Pro"/>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3272" w14:textId="77777777" w:rsidR="007A0510" w:rsidRDefault="007A0510" w:rsidP="006234C6">
      <w:pPr>
        <w:spacing w:line="240" w:lineRule="auto"/>
      </w:pPr>
      <w:r>
        <w:separator/>
      </w:r>
    </w:p>
    <w:p w14:paraId="4204355A" w14:textId="77777777" w:rsidR="007A0510" w:rsidRDefault="007A0510"/>
  </w:footnote>
  <w:footnote w:type="continuationSeparator" w:id="0">
    <w:p w14:paraId="57557AE8" w14:textId="77777777" w:rsidR="007A0510" w:rsidRDefault="007A0510" w:rsidP="006234C6">
      <w:pPr>
        <w:spacing w:line="240" w:lineRule="auto"/>
      </w:pPr>
      <w:r>
        <w:continuationSeparator/>
      </w:r>
    </w:p>
    <w:p w14:paraId="0558FDE9" w14:textId="77777777" w:rsidR="007A0510" w:rsidRDefault="007A0510"/>
  </w:footnote>
  <w:footnote w:type="continuationNotice" w:id="1">
    <w:p w14:paraId="36AD1419" w14:textId="77777777" w:rsidR="007A0510" w:rsidRDefault="007A0510">
      <w:pPr>
        <w:spacing w:line="240" w:lineRule="auto"/>
      </w:pPr>
    </w:p>
  </w:footnote>
  <w:footnote w:id="2">
    <w:p w14:paraId="3189DB2E" w14:textId="77777777" w:rsidR="00E40BD4" w:rsidRDefault="00E40BD4" w:rsidP="00E40BD4">
      <w:pPr>
        <w:pStyle w:val="FootnoteText"/>
      </w:pPr>
      <w:r>
        <w:rPr>
          <w:rStyle w:val="FootnoteReference"/>
        </w:rPr>
        <w:footnoteRef/>
      </w:r>
      <w:r>
        <w:t xml:space="preserve"> NHS Confederation (2025), Invest to change: the capital needs of community services, </w:t>
      </w:r>
      <w:hyperlink r:id="rId1" w:history="1">
        <w:r w:rsidRPr="005945DA">
          <w:rPr>
            <w:rStyle w:val="Hyperlink"/>
          </w:rPr>
          <w:t>https://www.nhsconfed.org/publications/invest-change</w:t>
        </w:r>
      </w:hyperlink>
      <w:r>
        <w:t xml:space="preserve"> </w:t>
      </w:r>
    </w:p>
  </w:footnote>
  <w:footnote w:id="3">
    <w:p w14:paraId="10AA3EF2" w14:textId="77777777" w:rsidR="00E40BD4" w:rsidRDefault="00E40BD4" w:rsidP="00E40BD4">
      <w:pPr>
        <w:pStyle w:val="FootnoteText"/>
      </w:pPr>
      <w:r>
        <w:rPr>
          <w:rStyle w:val="FootnoteReference"/>
        </w:rPr>
        <w:footnoteRef/>
      </w:r>
      <w:r>
        <w:t xml:space="preserve"> NHS Providers (2023), No more sticking plasters: repairing and transforming the NHS estate, </w:t>
      </w:r>
      <w:hyperlink r:id="rId2" w:history="1">
        <w:r w:rsidRPr="005945DA">
          <w:rPr>
            <w:rStyle w:val="Hyperlink"/>
          </w:rPr>
          <w:t>https://nhsproviders.org/resources/no-more-sticking-plasters-repairing-and-transforming-the-nhs-estate/capital-spending-across-the-nhs</w:t>
        </w:r>
      </w:hyperlink>
      <w:r>
        <w:t xml:space="preserve"> </w:t>
      </w:r>
    </w:p>
  </w:footnote>
  <w:footnote w:id="4">
    <w:p w14:paraId="6E3D7C1D" w14:textId="77777777" w:rsidR="00E40BD4" w:rsidRDefault="00E40BD4" w:rsidP="00E40BD4">
      <w:pPr>
        <w:pStyle w:val="FootnoteText"/>
      </w:pPr>
      <w:r>
        <w:rPr>
          <w:rStyle w:val="FootnoteReference"/>
        </w:rPr>
        <w:footnoteRef/>
      </w:r>
      <w:r>
        <w:t xml:space="preserve"> NHS Confederation (2025), Capital funding boost for primary and community care vital for government’s three shifts, </w:t>
      </w:r>
      <w:hyperlink r:id="rId3" w:history="1">
        <w:r w:rsidRPr="005945DA">
          <w:rPr>
            <w:rStyle w:val="Hyperlink"/>
          </w:rPr>
          <w:t>https://www.nhsconfed.org/news/capital-funding-boost-primary-and-community-care-vital-governments-three-shifts</w:t>
        </w:r>
      </w:hyperlink>
      <w:r>
        <w:t xml:space="preserve"> </w:t>
      </w:r>
    </w:p>
  </w:footnote>
  <w:footnote w:id="5">
    <w:p w14:paraId="47CF5933" w14:textId="77777777" w:rsidR="00E40BD4" w:rsidRDefault="00E40BD4" w:rsidP="00E40BD4">
      <w:pPr>
        <w:pStyle w:val="FootnoteText"/>
      </w:pPr>
      <w:r>
        <w:rPr>
          <w:rStyle w:val="FootnoteReference"/>
        </w:rPr>
        <w:footnoteRef/>
      </w:r>
      <w:r>
        <w:t xml:space="preserve"> </w:t>
      </w:r>
      <w:r w:rsidRPr="00BB7410">
        <w:t>This information is taken from a report by the NHS Confederation, in conjunction with Community Health Partnerships, which is due for publication on Monday 23 February 2026</w:t>
      </w:r>
    </w:p>
  </w:footnote>
  <w:footnote w:id="6">
    <w:p w14:paraId="789DCC52" w14:textId="77777777" w:rsidR="00E40BD4" w:rsidRDefault="00E40BD4" w:rsidP="00E40BD4">
      <w:pPr>
        <w:pStyle w:val="FootnoteText"/>
      </w:pPr>
      <w:r>
        <w:rPr>
          <w:rStyle w:val="FootnoteReference"/>
        </w:rPr>
        <w:footnoteRef/>
      </w:r>
      <w:r>
        <w:t xml:space="preserve"> NHS Confederation (2025), Towards a new co-investment model: what is next for NHS public-private partnerships?, </w:t>
      </w:r>
      <w:hyperlink r:id="rId4" w:anchor="_edn1" w:history="1">
        <w:r w:rsidRPr="005945DA">
          <w:rPr>
            <w:rStyle w:val="Hyperlink"/>
          </w:rPr>
          <w:t>https://www.nhsconfed.org/publications/towards-new-co-investment-model#_edn1</w:t>
        </w:r>
      </w:hyperlink>
      <w:r>
        <w:t xml:space="preserve"> </w:t>
      </w:r>
    </w:p>
  </w:footnote>
  <w:footnote w:id="7">
    <w:p w14:paraId="58B45AFA" w14:textId="77777777" w:rsidR="00E40BD4" w:rsidRDefault="00E40BD4" w:rsidP="00E40BD4">
      <w:pPr>
        <w:pStyle w:val="FootnoteText"/>
      </w:pPr>
      <w:r>
        <w:rPr>
          <w:rStyle w:val="FootnoteReference"/>
        </w:rPr>
        <w:footnoteRef/>
      </w:r>
      <w:r>
        <w:t xml:space="preserve"> NHS Confederation (2025), Towards a new co-investment model: what is next for NHS public-private partnerships?, </w:t>
      </w:r>
      <w:hyperlink r:id="rId5" w:anchor="_edn1" w:history="1">
        <w:r w:rsidRPr="005945DA">
          <w:rPr>
            <w:rStyle w:val="Hyperlink"/>
          </w:rPr>
          <w:t>https://www.nhsconfed.org/publications/towards-new-co-investment-model#_edn1</w:t>
        </w:r>
      </w:hyperlink>
      <w:r>
        <w:t xml:space="preserve"> </w:t>
      </w:r>
    </w:p>
  </w:footnote>
  <w:footnote w:id="8">
    <w:p w14:paraId="1A1305F5" w14:textId="77777777" w:rsidR="00E40BD4" w:rsidRDefault="00E40BD4" w:rsidP="00E40BD4">
      <w:pPr>
        <w:pStyle w:val="FootnoteText"/>
      </w:pPr>
      <w:r>
        <w:rPr>
          <w:rStyle w:val="FootnoteReference"/>
        </w:rPr>
        <w:footnoteRef/>
      </w:r>
      <w:r>
        <w:t xml:space="preserve"> NHS Confederation (2025), Towards a new co-investment mode: what is next for NHS public-private partnerships?, </w:t>
      </w:r>
      <w:hyperlink r:id="rId6" w:anchor="_edn1" w:history="1">
        <w:r w:rsidRPr="005945DA">
          <w:rPr>
            <w:rStyle w:val="Hyperlink"/>
          </w:rPr>
          <w:t>https://www.nhsconfed.org/publications/towards-new-co-investment-model#_edn1</w:t>
        </w:r>
      </w:hyperlink>
      <w:r>
        <w:t xml:space="preserve"> </w:t>
      </w:r>
    </w:p>
  </w:footnote>
  <w:footnote w:id="9">
    <w:p w14:paraId="66D85960" w14:textId="77777777" w:rsidR="00E40BD4" w:rsidRDefault="00E40BD4" w:rsidP="00E40BD4">
      <w:pPr>
        <w:pStyle w:val="FootnoteText"/>
      </w:pPr>
      <w:r>
        <w:rPr>
          <w:rStyle w:val="FootnoteReference"/>
        </w:rPr>
        <w:footnoteRef/>
      </w:r>
      <w:r>
        <w:t xml:space="preserve"> Department for Education (2023), Securing developer contributions for education, </w:t>
      </w:r>
      <w:hyperlink r:id="rId7" w:history="1">
        <w:r w:rsidRPr="005945DA">
          <w:rPr>
            <w:rStyle w:val="Hyperlink"/>
          </w:rPr>
          <w:t>https://assets.publishing.service.gov.uk/media/64d0f70d7a5708001314485f/Securing_Developer_Contributions_for_Education.pdf</w:t>
        </w:r>
      </w:hyperlink>
      <w:r>
        <w:t xml:space="preserve"> </w:t>
      </w:r>
    </w:p>
  </w:footnote>
  <w:footnote w:id="10">
    <w:p w14:paraId="14E99BC2" w14:textId="77777777" w:rsidR="00E40BD4" w:rsidRDefault="00E40BD4" w:rsidP="00E40BD4">
      <w:pPr>
        <w:pStyle w:val="FootnoteText"/>
      </w:pPr>
      <w:r>
        <w:rPr>
          <w:rStyle w:val="FootnoteReference"/>
        </w:rPr>
        <w:footnoteRef/>
      </w:r>
      <w:r>
        <w:t xml:space="preserve"> NHS Confederation (2025), Transforming the NHS estate to enable a neighbourhood health service, </w:t>
      </w:r>
      <w:hyperlink r:id="rId8" w:history="1">
        <w:r w:rsidRPr="005945DA">
          <w:rPr>
            <w:rStyle w:val="Hyperlink"/>
          </w:rPr>
          <w:t>https://www.nhsconfed.org/publications/transforming-nhs-estate-enable-neighbourhood-health-service</w:t>
        </w:r>
      </w:hyperlink>
      <w:r>
        <w:t xml:space="preserve"> </w:t>
      </w:r>
    </w:p>
  </w:footnote>
  <w:footnote w:id="11">
    <w:p w14:paraId="610919D2" w14:textId="77777777" w:rsidR="00E40BD4" w:rsidRDefault="00E40BD4" w:rsidP="00E40BD4">
      <w:pPr>
        <w:pStyle w:val="FootnoteText"/>
      </w:pPr>
      <w:r>
        <w:rPr>
          <w:rStyle w:val="FootnoteReference"/>
        </w:rPr>
        <w:footnoteRef/>
      </w:r>
      <w:r>
        <w:t xml:space="preserve"> NHS Confederation (2025), Capital efficiency: how to reform healthcare capital spending, </w:t>
      </w:r>
      <w:hyperlink r:id="rId9" w:history="1">
        <w:r w:rsidRPr="005945DA">
          <w:rPr>
            <w:rStyle w:val="Hyperlink"/>
          </w:rPr>
          <w:t>https://www.nhsconfed.org/publications/capital-efficiency</w:t>
        </w:r>
      </w:hyperlink>
      <w:r>
        <w:t xml:space="preserve"> </w:t>
      </w:r>
    </w:p>
  </w:footnote>
  <w:footnote w:id="12">
    <w:p w14:paraId="35307DE8" w14:textId="77777777" w:rsidR="00E40BD4" w:rsidRDefault="00E40BD4" w:rsidP="00E40BD4">
      <w:pPr>
        <w:pStyle w:val="FootnoteText"/>
      </w:pPr>
      <w:r>
        <w:rPr>
          <w:rStyle w:val="FootnoteReference"/>
        </w:rPr>
        <w:footnoteRef/>
      </w:r>
      <w:r>
        <w:t xml:space="preserve"> NHS Confederation (2025), Capital efficiency: how to reform healthcare capital spending, </w:t>
      </w:r>
      <w:hyperlink r:id="rId10" w:history="1">
        <w:r w:rsidRPr="005945DA">
          <w:rPr>
            <w:rStyle w:val="Hyperlink"/>
          </w:rPr>
          <w:t>https://www.nhsconfed.org/publications/capital-efficiency</w:t>
        </w:r>
      </w:hyperlink>
      <w:r>
        <w:t xml:space="preserve"> </w:t>
      </w:r>
    </w:p>
  </w:footnote>
  <w:footnote w:id="13">
    <w:p w14:paraId="205B0759" w14:textId="77777777" w:rsidR="00E40BD4" w:rsidRDefault="00E40BD4" w:rsidP="00E40BD4">
      <w:pPr>
        <w:pStyle w:val="FootnoteText"/>
      </w:pPr>
      <w:r>
        <w:rPr>
          <w:rStyle w:val="FootnoteReference"/>
        </w:rPr>
        <w:footnoteRef/>
      </w:r>
      <w:r>
        <w:t xml:space="preserve"> Department of Health and Social Care (2026), Requesting transfers of NHS property, </w:t>
      </w:r>
      <w:hyperlink r:id="rId11" w:history="1">
        <w:r w:rsidRPr="005945DA">
          <w:rPr>
            <w:rStyle w:val="Hyperlink"/>
          </w:rPr>
          <w:t>https://www.gov.uk/government/publications/requesting-transfers-of-nhs-property/requesting-transfers-of-nhs-property</w:t>
        </w:r>
      </w:hyperlink>
      <w:r>
        <w:t xml:space="preserve"> </w:t>
      </w:r>
    </w:p>
  </w:footnote>
  <w:footnote w:id="14">
    <w:p w14:paraId="5F35A18B" w14:textId="77777777" w:rsidR="00E40BD4" w:rsidRDefault="00E40BD4" w:rsidP="00E40BD4">
      <w:pPr>
        <w:pStyle w:val="FootnoteText"/>
      </w:pPr>
      <w:r>
        <w:rPr>
          <w:rStyle w:val="FootnoteReference"/>
        </w:rPr>
        <w:footnoteRef/>
      </w:r>
      <w:r>
        <w:t xml:space="preserve"> NHS Providers (2025), Investing in the NHS: empowering the sector to drive productivity, renewal and growth, </w:t>
      </w:r>
      <w:hyperlink r:id="rId12" w:history="1">
        <w:r w:rsidRPr="005945DA">
          <w:rPr>
            <w:rStyle w:val="Hyperlink"/>
          </w:rPr>
          <w:t>https://nhsproviders.org/resources/investing-in-the-nhs-empowering-the-sector-to-drive-productivity-renewal-and-growth/there-is-significant-potential-to-increase-investment-in-the-nhs</w:t>
        </w:r>
      </w:hyperlink>
      <w:r>
        <w:t xml:space="preserve"> </w:t>
      </w:r>
    </w:p>
  </w:footnote>
  <w:footnote w:id="15">
    <w:p w14:paraId="278344E3" w14:textId="77777777" w:rsidR="00E40BD4" w:rsidRDefault="00E40BD4" w:rsidP="00E40BD4">
      <w:pPr>
        <w:pStyle w:val="FootnoteText"/>
      </w:pPr>
      <w:r>
        <w:rPr>
          <w:rStyle w:val="FootnoteReference"/>
        </w:rPr>
        <w:footnoteRef/>
      </w:r>
      <w:r>
        <w:t xml:space="preserve"> Local Government Association (2024), Whitechapel Development Programme, </w:t>
      </w:r>
      <w:hyperlink r:id="rId13" w:history="1">
        <w:r w:rsidRPr="005945DA">
          <w:rPr>
            <w:rStyle w:val="Hyperlink"/>
          </w:rPr>
          <w:t>https://www.local.gov.uk/case-studies/whitechapel-development-programme</w:t>
        </w:r>
      </w:hyperlink>
      <w:r>
        <w:t xml:space="preserve"> </w:t>
      </w:r>
    </w:p>
  </w:footnote>
  <w:footnote w:id="16">
    <w:p w14:paraId="71F687D0" w14:textId="77777777" w:rsidR="00E40BD4" w:rsidRDefault="00E40BD4" w:rsidP="00E40BD4">
      <w:pPr>
        <w:pStyle w:val="FootnoteText"/>
      </w:pPr>
      <w:r>
        <w:rPr>
          <w:rStyle w:val="FootnoteReference"/>
        </w:rPr>
        <w:footnoteRef/>
      </w:r>
      <w:r>
        <w:t xml:space="preserve"> NHS Confederation (2024), Par Bay Big Local, </w:t>
      </w:r>
      <w:hyperlink r:id="rId14" w:history="1">
        <w:r w:rsidRPr="005945DA">
          <w:rPr>
            <w:rStyle w:val="Hyperlink"/>
          </w:rPr>
          <w:t>https://www.nhsconfed.org/case-studies/par-bay-big-local</w:t>
        </w:r>
      </w:hyperlink>
      <w:r>
        <w:t xml:space="preserve"> </w:t>
      </w:r>
    </w:p>
  </w:footnote>
  <w:footnote w:id="17">
    <w:p w14:paraId="19C51E1E" w14:textId="77777777" w:rsidR="00E40BD4" w:rsidRDefault="00E40BD4" w:rsidP="00E40BD4">
      <w:pPr>
        <w:pStyle w:val="FootnoteText"/>
      </w:pPr>
      <w:r>
        <w:rPr>
          <w:rStyle w:val="FootnoteReference"/>
        </w:rPr>
        <w:footnoteRef/>
      </w:r>
      <w:r>
        <w:t xml:space="preserve"> NHS Confederation (2024), Neighbourhood Health Community of Practice, </w:t>
      </w:r>
      <w:hyperlink r:id="rId15" w:history="1">
        <w:r w:rsidRPr="005945DA">
          <w:rPr>
            <w:rStyle w:val="Hyperlink"/>
          </w:rPr>
          <w:t>https://www.nhsconfed.org/articles/neighbourhood-health-community-practice</w:t>
        </w:r>
      </w:hyperlink>
      <w:r>
        <w:t xml:space="preserve"> </w:t>
      </w:r>
    </w:p>
  </w:footnote>
  <w:footnote w:id="18">
    <w:p w14:paraId="3A211993" w14:textId="77777777" w:rsidR="00E40BD4" w:rsidRDefault="00E40BD4" w:rsidP="00E40BD4">
      <w:pPr>
        <w:pStyle w:val="FootnoteText"/>
      </w:pPr>
      <w:r>
        <w:rPr>
          <w:rStyle w:val="FootnoteReference"/>
        </w:rPr>
        <w:footnoteRef/>
      </w:r>
      <w:r>
        <w:t xml:space="preserve"> NHS Confederation (2024), Northwood Together Big Local, </w:t>
      </w:r>
      <w:hyperlink r:id="rId16" w:history="1">
        <w:r w:rsidRPr="005945DA">
          <w:rPr>
            <w:rStyle w:val="Hyperlink"/>
          </w:rPr>
          <w:t>https://www.nhsconfed.org/case-studies/northwood-together-big-local</w:t>
        </w:r>
      </w:hyperlink>
      <w:r>
        <w:t xml:space="preserve"> </w:t>
      </w:r>
    </w:p>
  </w:footnote>
  <w:footnote w:id="19">
    <w:p w14:paraId="22DEEA7B" w14:textId="77777777" w:rsidR="00E40BD4" w:rsidRDefault="00E40BD4" w:rsidP="00E40BD4">
      <w:pPr>
        <w:pStyle w:val="FootnoteText"/>
      </w:pPr>
      <w:r>
        <w:rPr>
          <w:rStyle w:val="FootnoteReference"/>
        </w:rPr>
        <w:footnoteRef/>
      </w:r>
      <w:r>
        <w:t xml:space="preserve"> NHS Confederation and Power to Change (2020), Health on the high street, </w:t>
      </w:r>
      <w:hyperlink r:id="rId17" w:history="1">
        <w:r w:rsidRPr="005945DA">
          <w:rPr>
            <w:rStyle w:val="Hyperlink"/>
          </w:rPr>
          <w:t>https://www.nhsconfed.org/system/files/media/Health%20on%20the%20High%20Street.pdf</w:t>
        </w:r>
      </w:hyperlink>
      <w:r>
        <w:t xml:space="preserve"> </w:t>
      </w:r>
    </w:p>
  </w:footnote>
  <w:footnote w:id="20">
    <w:p w14:paraId="5CD62E7F" w14:textId="77777777" w:rsidR="00E40BD4" w:rsidRDefault="00E40BD4" w:rsidP="00E40BD4">
      <w:pPr>
        <w:pStyle w:val="FootnoteText"/>
      </w:pPr>
      <w:r>
        <w:rPr>
          <w:rStyle w:val="FootnoteReference"/>
        </w:rPr>
        <w:footnoteRef/>
      </w:r>
      <w:r>
        <w:t xml:space="preserve"> NHS Somerset NHS Foundation Trust (2025), Mendip NHS physiotherapists join forces with local gyms to offer rehab for patients, </w:t>
      </w:r>
      <w:hyperlink r:id="rId18" w:history="1">
        <w:r w:rsidRPr="005945DA">
          <w:rPr>
            <w:rStyle w:val="Hyperlink"/>
          </w:rPr>
          <w:t>https://www.somersetft.nhs.uk/?news=mendip-nhs-physiotherapists-join-forces-with-local-gyms-to-offer-rehab-for-patients</w:t>
        </w:r>
      </w:hyperlink>
      <w:r>
        <w:t xml:space="preserve"> </w:t>
      </w:r>
    </w:p>
  </w:footnote>
  <w:footnote w:id="21">
    <w:p w14:paraId="1FC2B8B9" w14:textId="77777777" w:rsidR="00E40BD4" w:rsidRDefault="00E40BD4" w:rsidP="00E40BD4">
      <w:pPr>
        <w:pStyle w:val="FootnoteText"/>
      </w:pPr>
      <w:r>
        <w:rPr>
          <w:rStyle w:val="FootnoteReference"/>
        </w:rPr>
        <w:footnoteRef/>
      </w:r>
      <w:r>
        <w:t xml:space="preserve"> NHS Confederation (2025), The future of primary care, </w:t>
      </w:r>
      <w:hyperlink r:id="rId19" w:history="1">
        <w:r w:rsidRPr="005945DA">
          <w:rPr>
            <w:rStyle w:val="Hyperlink"/>
          </w:rPr>
          <w:t>https://www.nhsconfed.org/publications/future-primary-care</w:t>
        </w:r>
      </w:hyperlink>
      <w:r>
        <w:t xml:space="preserve"> </w:t>
      </w:r>
    </w:p>
  </w:footnote>
  <w:footnote w:id="22">
    <w:p w14:paraId="0C354AFB" w14:textId="77777777" w:rsidR="00E40BD4" w:rsidRDefault="00E40BD4" w:rsidP="00E40BD4">
      <w:pPr>
        <w:pStyle w:val="FootnoteText"/>
      </w:pPr>
      <w:r>
        <w:rPr>
          <w:rStyle w:val="FootnoteReference"/>
        </w:rPr>
        <w:footnoteRef/>
      </w:r>
      <w:r>
        <w:t xml:space="preserve"> </w:t>
      </w:r>
      <w:r w:rsidRPr="0094080C">
        <w:t>This information is taken from a report by the NHS Confederation, in conjunction with Community Health Partnerships, which is due for publication on Monday 23 February 2026</w:t>
      </w:r>
    </w:p>
  </w:footnote>
  <w:footnote w:id="23">
    <w:p w14:paraId="738A3461" w14:textId="77777777" w:rsidR="00E40BD4" w:rsidRDefault="00E40BD4" w:rsidP="00E40BD4">
      <w:pPr>
        <w:pStyle w:val="FootnoteText"/>
      </w:pPr>
      <w:r>
        <w:rPr>
          <w:rStyle w:val="FootnoteReference"/>
        </w:rPr>
        <w:footnoteRef/>
      </w:r>
      <w:r>
        <w:t xml:space="preserve"> </w:t>
      </w:r>
      <w:r w:rsidRPr="0094080C">
        <w:t>This information is taken from a report by the NHS Confederation, in conjunction with Community Health Partnerships, which is due for publication on Monday 23 February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DCF7" w14:textId="77777777" w:rsidR="0031782F" w:rsidRPr="009B7B0E" w:rsidRDefault="0071167F" w:rsidP="009B7B0E">
    <w:pPr>
      <w:pStyle w:val="Header"/>
    </w:pPr>
    <w:r>
      <w:rPr>
        <w:noProof/>
        <w14:ligatures w14:val="standardContextual"/>
      </w:rPr>
      <w:drawing>
        <wp:anchor distT="0" distB="0" distL="114300" distR="114300" simplePos="0" relativeHeight="251658241" behindDoc="1" locked="0" layoutInCell="1" allowOverlap="1" wp14:anchorId="2B38357B" wp14:editId="266885EE">
          <wp:simplePos x="0" y="0"/>
          <wp:positionH relativeFrom="column">
            <wp:posOffset>3925614</wp:posOffset>
          </wp:positionH>
          <wp:positionV relativeFrom="paragraph">
            <wp:posOffset>185420</wp:posOffset>
          </wp:positionV>
          <wp:extent cx="2816860" cy="405084"/>
          <wp:effectExtent l="0" t="0" r="0" b="1905"/>
          <wp:wrapNone/>
          <wp:docPr id="1684217310"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17310"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16860" cy="405084"/>
                  </a:xfrm>
                  <a:prstGeom prst="rect">
                    <a:avLst/>
                  </a:prstGeom>
                </pic:spPr>
              </pic:pic>
            </a:graphicData>
          </a:graphic>
          <wp14:sizeRelH relativeFrom="page">
            <wp14:pctWidth>0</wp14:pctWidth>
          </wp14:sizeRelH>
          <wp14:sizeRelV relativeFrom="page">
            <wp14:pctHeight>0</wp14:pctHeight>
          </wp14:sizeRelV>
        </wp:anchor>
      </w:drawing>
    </w:r>
  </w:p>
  <w:p w14:paraId="353BF0E8" w14:textId="77777777" w:rsidR="0031782F" w:rsidRDefault="007327E4" w:rsidP="0071167F">
    <w:pPr>
      <w:tabs>
        <w:tab w:val="left" w:pos="9026"/>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FF0D" w14:textId="77777777" w:rsidR="00797D0E" w:rsidRPr="00797D0E" w:rsidRDefault="00797D0E" w:rsidP="00797D0E">
    <w:r w:rsidRPr="00797D0E">
      <w:rPr>
        <w:noProof/>
      </w:rPr>
      <w:drawing>
        <wp:anchor distT="0" distB="0" distL="114300" distR="114300" simplePos="0" relativeHeight="251658240" behindDoc="1" locked="0" layoutInCell="1" allowOverlap="1" wp14:anchorId="12E6B190" wp14:editId="37369A55">
          <wp:simplePos x="0" y="0"/>
          <wp:positionH relativeFrom="column">
            <wp:posOffset>-528105</wp:posOffset>
          </wp:positionH>
          <wp:positionV relativeFrom="paragraph">
            <wp:posOffset>-261280</wp:posOffset>
          </wp:positionV>
          <wp:extent cx="7608603" cy="1708282"/>
          <wp:effectExtent l="0" t="0" r="0" b="6350"/>
          <wp:wrapNone/>
          <wp:docPr id="1861735689" name="Picture 3"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35689" name="Picture 3" descr="A blue and orang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603" cy="17082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86897" w14:textId="77777777" w:rsidR="0031782F" w:rsidRDefault="003178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279"/>
    <w:multiLevelType w:val="multilevel"/>
    <w:tmpl w:val="2FE00A24"/>
    <w:styleLink w:val="CurrentList11"/>
    <w:lvl w:ilvl="0">
      <w:start w:val="1"/>
      <w:numFmt w:val="decimal"/>
      <w:lvlText w:val="%1"/>
      <w:lvlJc w:val="left"/>
      <w:pPr>
        <w:ind w:left="340" w:hanging="340"/>
      </w:pPr>
      <w:rPr>
        <w:rFonts w:ascii="Aptos ExtraBold" w:hAnsi="Aptos ExtraBold" w:hint="default"/>
        <w:b w:val="0"/>
        <w:i w:val="0"/>
        <w:color w:val="2C2D84"/>
        <w:sz w:val="20"/>
      </w:rPr>
    </w:lvl>
    <w:lvl w:ilvl="1">
      <w:start w:val="1"/>
      <w:numFmt w:val="lowerLetter"/>
      <w:lvlText w:val="%2"/>
      <w:lvlJc w:val="left"/>
      <w:pPr>
        <w:tabs>
          <w:tab w:val="num" w:pos="624"/>
        </w:tabs>
        <w:ind w:left="624" w:hanging="284"/>
      </w:pPr>
      <w:rPr>
        <w:rFonts w:asciiTheme="minorHAnsi" w:hAnsiTheme="minorHAnsi" w:hint="default"/>
        <w:b/>
        <w:i w:val="0"/>
        <w:color w:val="808080" w:themeColor="background1" w:themeShade="80"/>
        <w:sz w:val="20"/>
      </w:rPr>
    </w:lvl>
    <w:lvl w:ilvl="2">
      <w:start w:val="1"/>
      <w:numFmt w:val="lowerRoman"/>
      <w:lvlText w:val="%3"/>
      <w:lvlJc w:val="left"/>
      <w:pPr>
        <w:tabs>
          <w:tab w:val="num" w:pos="908"/>
        </w:tabs>
        <w:ind w:left="851" w:hanging="227"/>
      </w:pPr>
      <w:rPr>
        <w:rFonts w:asciiTheme="minorHAnsi" w:hAnsiTheme="minorHAnsi" w:hint="default"/>
        <w:b/>
        <w:i w:val="0"/>
        <w:color w:val="808080" w:themeColor="background1" w:themeShade="80"/>
        <w:sz w:val="20"/>
      </w:rPr>
    </w:lvl>
    <w:lvl w:ilvl="3">
      <w:start w:val="1"/>
      <w:numFmt w:val="bullet"/>
      <w:lvlText w:val=""/>
      <w:lvlJc w:val="left"/>
      <w:pPr>
        <w:ind w:left="1134" w:hanging="283"/>
      </w:pPr>
      <w:rPr>
        <w:rFonts w:ascii="Symbol" w:hAnsi="Symbol" w:hint="default"/>
        <w:b w:val="0"/>
        <w:i w:val="0"/>
        <w:color w:val="A6A6A6" w:themeColor="background1" w:themeShade="A6"/>
        <w:w w:val="120"/>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2" w15:restartNumberingAfterBreak="0">
    <w:nsid w:val="02B74FFB"/>
    <w:multiLevelType w:val="hybridMultilevel"/>
    <w:tmpl w:val="84B48E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9F21E"/>
    <w:multiLevelType w:val="hybridMultilevel"/>
    <w:tmpl w:val="FFFFFFFF"/>
    <w:lvl w:ilvl="0" w:tplc="9042E134">
      <w:start w:val="1"/>
      <w:numFmt w:val="bullet"/>
      <w:lvlText w:val=""/>
      <w:lvlJc w:val="left"/>
      <w:pPr>
        <w:ind w:left="720" w:hanging="360"/>
      </w:pPr>
      <w:rPr>
        <w:rFonts w:ascii="Symbol" w:hAnsi="Symbol" w:hint="default"/>
      </w:rPr>
    </w:lvl>
    <w:lvl w:ilvl="1" w:tplc="0B74D236">
      <w:start w:val="1"/>
      <w:numFmt w:val="bullet"/>
      <w:lvlText w:val="o"/>
      <w:lvlJc w:val="left"/>
      <w:pPr>
        <w:ind w:left="1440" w:hanging="360"/>
      </w:pPr>
      <w:rPr>
        <w:rFonts w:ascii="Courier New" w:hAnsi="Courier New" w:hint="default"/>
      </w:rPr>
    </w:lvl>
    <w:lvl w:ilvl="2" w:tplc="E7BA73C4">
      <w:start w:val="1"/>
      <w:numFmt w:val="bullet"/>
      <w:lvlText w:val=""/>
      <w:lvlJc w:val="left"/>
      <w:pPr>
        <w:ind w:left="2160" w:hanging="360"/>
      </w:pPr>
      <w:rPr>
        <w:rFonts w:ascii="Wingdings" w:hAnsi="Wingdings" w:hint="default"/>
      </w:rPr>
    </w:lvl>
    <w:lvl w:ilvl="3" w:tplc="BAB677CE">
      <w:start w:val="1"/>
      <w:numFmt w:val="bullet"/>
      <w:lvlText w:val=""/>
      <w:lvlJc w:val="left"/>
      <w:pPr>
        <w:ind w:left="2880" w:hanging="360"/>
      </w:pPr>
      <w:rPr>
        <w:rFonts w:ascii="Symbol" w:hAnsi="Symbol" w:hint="default"/>
      </w:rPr>
    </w:lvl>
    <w:lvl w:ilvl="4" w:tplc="A14449F4">
      <w:start w:val="1"/>
      <w:numFmt w:val="bullet"/>
      <w:lvlText w:val="o"/>
      <w:lvlJc w:val="left"/>
      <w:pPr>
        <w:ind w:left="3600" w:hanging="360"/>
      </w:pPr>
      <w:rPr>
        <w:rFonts w:ascii="Courier New" w:hAnsi="Courier New" w:hint="default"/>
      </w:rPr>
    </w:lvl>
    <w:lvl w:ilvl="5" w:tplc="A8149EF0">
      <w:start w:val="1"/>
      <w:numFmt w:val="bullet"/>
      <w:lvlText w:val=""/>
      <w:lvlJc w:val="left"/>
      <w:pPr>
        <w:ind w:left="4320" w:hanging="360"/>
      </w:pPr>
      <w:rPr>
        <w:rFonts w:ascii="Wingdings" w:hAnsi="Wingdings" w:hint="default"/>
      </w:rPr>
    </w:lvl>
    <w:lvl w:ilvl="6" w:tplc="E9EA6598">
      <w:start w:val="1"/>
      <w:numFmt w:val="bullet"/>
      <w:lvlText w:val=""/>
      <w:lvlJc w:val="left"/>
      <w:pPr>
        <w:ind w:left="5040" w:hanging="360"/>
      </w:pPr>
      <w:rPr>
        <w:rFonts w:ascii="Symbol" w:hAnsi="Symbol" w:hint="default"/>
      </w:rPr>
    </w:lvl>
    <w:lvl w:ilvl="7" w:tplc="FE6621F8">
      <w:start w:val="1"/>
      <w:numFmt w:val="bullet"/>
      <w:lvlText w:val="o"/>
      <w:lvlJc w:val="left"/>
      <w:pPr>
        <w:ind w:left="5760" w:hanging="360"/>
      </w:pPr>
      <w:rPr>
        <w:rFonts w:ascii="Courier New" w:hAnsi="Courier New" w:hint="default"/>
      </w:rPr>
    </w:lvl>
    <w:lvl w:ilvl="8" w:tplc="8926F3E2">
      <w:start w:val="1"/>
      <w:numFmt w:val="bullet"/>
      <w:lvlText w:val=""/>
      <w:lvlJc w:val="left"/>
      <w:pPr>
        <w:ind w:left="6480" w:hanging="360"/>
      </w:pPr>
      <w:rPr>
        <w:rFonts w:ascii="Wingdings" w:hAnsi="Wingdings" w:hint="default"/>
      </w:rPr>
    </w:lvl>
  </w:abstractNum>
  <w:abstractNum w:abstractNumId="4" w15:restartNumberingAfterBreak="0">
    <w:nsid w:val="03452140"/>
    <w:multiLevelType w:val="multilevel"/>
    <w:tmpl w:val="07FC90DC"/>
    <w:styleLink w:val="CurrentList3"/>
    <w:lvl w:ilvl="0">
      <w:start w:val="1"/>
      <w:numFmt w:val="decimal"/>
      <w:lvlText w:val="%1"/>
      <w:lvlJc w:val="left"/>
      <w:pPr>
        <w:tabs>
          <w:tab w:val="num" w:pos="340"/>
        </w:tabs>
        <w:ind w:left="340" w:hanging="340"/>
      </w:pPr>
      <w:rPr>
        <w:rFonts w:ascii="Aptos ExtraBold" w:hAnsi="Aptos ExtraBold" w:hint="default"/>
        <w:b/>
        <w:i w:val="0"/>
        <w:color w:val="29398F" w:themeColor="accent2"/>
        <w:sz w:val="20"/>
      </w:rPr>
    </w:lvl>
    <w:lvl w:ilvl="1">
      <w:start w:val="1"/>
      <w:numFmt w:val="lowerLetter"/>
      <w:lvlText w:val="%2"/>
      <w:lvlJc w:val="left"/>
      <w:pPr>
        <w:ind w:left="624" w:hanging="284"/>
      </w:pPr>
      <w:rPr>
        <w:rFonts w:asciiTheme="minorHAnsi" w:hAnsiTheme="minorHAnsi"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5" w15:restartNumberingAfterBreak="0">
    <w:nsid w:val="03EC1F07"/>
    <w:multiLevelType w:val="multilevel"/>
    <w:tmpl w:val="B5528598"/>
    <w:styleLink w:val="CurrentList7"/>
    <w:lvl w:ilvl="0">
      <w:start w:val="1"/>
      <w:numFmt w:val="decimal"/>
      <w:lvlText w:val="%1"/>
      <w:lvlJc w:val="left"/>
      <w:pPr>
        <w:ind w:left="340" w:hanging="340"/>
      </w:pPr>
      <w:rPr>
        <w:rFonts w:ascii="Aptos ExtraBold" w:hAnsi="Aptos ExtraBold" w:hint="default"/>
        <w:b/>
        <w:i w:val="0"/>
        <w:color w:val="29398F" w:themeColor="accent2"/>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6" w15:restartNumberingAfterBreak="0">
    <w:nsid w:val="087656FF"/>
    <w:multiLevelType w:val="multilevel"/>
    <w:tmpl w:val="6ACC967E"/>
    <w:styleLink w:val="CurrentList4"/>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7" w15:restartNumberingAfterBreak="0">
    <w:nsid w:val="091936A3"/>
    <w:multiLevelType w:val="hybridMultilevel"/>
    <w:tmpl w:val="F3B03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EB3DFC"/>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9" w15:restartNumberingAfterBreak="0">
    <w:nsid w:val="0C362994"/>
    <w:multiLevelType w:val="multilevel"/>
    <w:tmpl w:val="16CE3A04"/>
    <w:numStyleLink w:val="otdBULLETSTYLE"/>
  </w:abstractNum>
  <w:abstractNum w:abstractNumId="10" w15:restartNumberingAfterBreak="0">
    <w:nsid w:val="13DA365A"/>
    <w:multiLevelType w:val="multilevel"/>
    <w:tmpl w:val="3B685062"/>
    <w:lvl w:ilvl="0">
      <w:start w:val="1"/>
      <w:numFmt w:val="bullet"/>
      <w:lvlText w:val=""/>
      <w:lvlJc w:val="left"/>
      <w:pPr>
        <w:ind w:left="152" w:hanging="360"/>
      </w:pPr>
      <w:rPr>
        <w:rFonts w:ascii="Symbol" w:hAnsi="Symbol" w:hint="default"/>
        <w:color w:val="000000" w:themeColor="text1"/>
      </w:rPr>
    </w:lvl>
    <w:lvl w:ilvl="1">
      <w:start w:val="1"/>
      <w:numFmt w:val="bullet"/>
      <w:lvlText w:val=""/>
      <w:lvlJc w:val="left"/>
      <w:pPr>
        <w:ind w:left="872" w:hanging="360"/>
      </w:pPr>
      <w:rPr>
        <w:rFonts w:ascii="Symbol" w:hAnsi="Symbol" w:hint="default"/>
        <w:color w:val="808080" w:themeColor="background1" w:themeShade="80"/>
      </w:rPr>
    </w:lvl>
    <w:lvl w:ilvl="2">
      <w:start w:val="1"/>
      <w:numFmt w:val="bullet"/>
      <w:lvlText w:val=""/>
      <w:lvlJc w:val="left"/>
      <w:pPr>
        <w:ind w:left="1592" w:hanging="360"/>
      </w:pPr>
      <w:rPr>
        <w:rFonts w:ascii="Symbol" w:hAnsi="Symbol" w:hint="default"/>
        <w:color w:val="BFBFBF" w:themeColor="background1" w:themeShade="BF"/>
      </w:rPr>
    </w:lvl>
    <w:lvl w:ilvl="3">
      <w:start w:val="1"/>
      <w:numFmt w:val="bullet"/>
      <w:lvlText w:val=""/>
      <w:lvlJc w:val="left"/>
      <w:pPr>
        <w:ind w:left="2312" w:hanging="360"/>
      </w:pPr>
      <w:rPr>
        <w:rFonts w:ascii="Symbol" w:hAnsi="Symbol" w:hint="default"/>
        <w:color w:val="D9D9D9" w:themeColor="background1" w:themeShade="D9"/>
      </w:rPr>
    </w:lvl>
    <w:lvl w:ilvl="4">
      <w:start w:val="1"/>
      <w:numFmt w:val="bullet"/>
      <w:lvlText w:val=""/>
      <w:lvlJc w:val="left"/>
      <w:pPr>
        <w:ind w:left="3032" w:hanging="360"/>
      </w:pPr>
      <w:rPr>
        <w:rFonts w:ascii="Symbol" w:hAnsi="Symbol" w:hint="default"/>
        <w:color w:val="BFBFBF" w:themeColor="background1" w:themeShade="BF"/>
      </w:rPr>
    </w:lvl>
    <w:lvl w:ilvl="5">
      <w:start w:val="1"/>
      <w:numFmt w:val="bullet"/>
      <w:lvlText w:val=""/>
      <w:lvlJc w:val="left"/>
      <w:pPr>
        <w:ind w:left="3752" w:hanging="360"/>
      </w:pPr>
      <w:rPr>
        <w:rFonts w:ascii="Symbol" w:hAnsi="Symbol" w:hint="default"/>
        <w:color w:val="BFBFBF" w:themeColor="background1" w:themeShade="BF"/>
      </w:rPr>
    </w:lvl>
    <w:lvl w:ilvl="6">
      <w:start w:val="1"/>
      <w:numFmt w:val="bullet"/>
      <w:lvlText w:val=""/>
      <w:lvlJc w:val="left"/>
      <w:pPr>
        <w:ind w:left="4472" w:hanging="360"/>
      </w:pPr>
      <w:rPr>
        <w:rFonts w:ascii="Symbol" w:hAnsi="Symbol" w:hint="default"/>
      </w:rPr>
    </w:lvl>
    <w:lvl w:ilvl="7">
      <w:start w:val="1"/>
      <w:numFmt w:val="bullet"/>
      <w:lvlText w:val=""/>
      <w:lvlJc w:val="left"/>
      <w:pPr>
        <w:ind w:left="5192" w:hanging="360"/>
      </w:pPr>
      <w:rPr>
        <w:rFonts w:ascii="Symbol" w:hAnsi="Symbol" w:hint="default"/>
      </w:rPr>
    </w:lvl>
    <w:lvl w:ilvl="8">
      <w:start w:val="1"/>
      <w:numFmt w:val="bullet"/>
      <w:lvlText w:val=""/>
      <w:lvlJc w:val="left"/>
      <w:pPr>
        <w:ind w:left="5912" w:hanging="360"/>
      </w:pPr>
      <w:rPr>
        <w:rFonts w:ascii="Wingdings" w:hAnsi="Wingdings" w:hint="default"/>
      </w:rPr>
    </w:lvl>
  </w:abstractNum>
  <w:abstractNum w:abstractNumId="11" w15:restartNumberingAfterBreak="0">
    <w:nsid w:val="18B46304"/>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2" w15:restartNumberingAfterBreak="0">
    <w:nsid w:val="1A667EC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B16303"/>
    <w:multiLevelType w:val="multilevel"/>
    <w:tmpl w:val="D32821E0"/>
    <w:styleLink w:val="CurrentList8"/>
    <w:lvl w:ilvl="0">
      <w:start w:val="1"/>
      <w:numFmt w:val="decimal"/>
      <w:lvlText w:val="%1"/>
      <w:lvlJc w:val="left"/>
      <w:pPr>
        <w:ind w:left="340" w:hanging="340"/>
      </w:pPr>
      <w:rPr>
        <w:rFonts w:ascii="Aptos ExtraBold" w:hAnsi="Aptos ExtraBold" w:hint="default"/>
        <w:b w:val="0"/>
        <w:i w:val="0"/>
        <w:color w:val="29398F" w:themeColor="accent2"/>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4" w15:restartNumberingAfterBreak="0">
    <w:nsid w:val="1D075274"/>
    <w:multiLevelType w:val="hybridMultilevel"/>
    <w:tmpl w:val="09BCB3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A443D75"/>
    <w:multiLevelType w:val="hybridMultilevel"/>
    <w:tmpl w:val="53626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CC78B6"/>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7" w15:restartNumberingAfterBreak="0">
    <w:nsid w:val="30A273A2"/>
    <w:multiLevelType w:val="hybridMultilevel"/>
    <w:tmpl w:val="44F4C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F53DA9"/>
    <w:multiLevelType w:val="hybridMultilevel"/>
    <w:tmpl w:val="2DBAA89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8227D0"/>
    <w:multiLevelType w:val="hybridMultilevel"/>
    <w:tmpl w:val="67F818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FF3453"/>
    <w:multiLevelType w:val="multilevel"/>
    <w:tmpl w:val="77EE74BA"/>
    <w:styleLink w:val="CurrentList5"/>
    <w:lvl w:ilvl="0">
      <w:start w:val="1"/>
      <w:numFmt w:val="decimal"/>
      <w:lvlText w:val="%1"/>
      <w:lvlJc w:val="left"/>
      <w:pPr>
        <w:ind w:left="340" w:hanging="340"/>
      </w:pPr>
      <w:rPr>
        <w:rFonts w:ascii="Aptos ExtraBold" w:hAnsi="Aptos ExtraBold" w:hint="default"/>
        <w:b/>
        <w:i w:val="0"/>
        <w:color w:val="29398F" w:themeColor="accent2"/>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1" w15:restartNumberingAfterBreak="0">
    <w:nsid w:val="4A4614CC"/>
    <w:multiLevelType w:val="hybridMultilevel"/>
    <w:tmpl w:val="7806F61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45ACB"/>
    <w:multiLevelType w:val="hybridMultilevel"/>
    <w:tmpl w:val="60E00ECC"/>
    <w:lvl w:ilvl="0" w:tplc="D49C03F0">
      <w:numFmt w:val="bullet"/>
      <w:lvlText w:val="-"/>
      <w:lvlJc w:val="left"/>
      <w:pPr>
        <w:ind w:left="720" w:hanging="36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4AFAB"/>
    <w:multiLevelType w:val="hybridMultilevel"/>
    <w:tmpl w:val="FFFFFFFF"/>
    <w:lvl w:ilvl="0" w:tplc="4FF4A03A">
      <w:start w:val="1"/>
      <w:numFmt w:val="bullet"/>
      <w:lvlText w:val=""/>
      <w:lvlJc w:val="left"/>
      <w:pPr>
        <w:ind w:left="720" w:hanging="360"/>
      </w:pPr>
      <w:rPr>
        <w:rFonts w:ascii="Symbol" w:hAnsi="Symbol" w:hint="default"/>
      </w:rPr>
    </w:lvl>
    <w:lvl w:ilvl="1" w:tplc="3998C3A0">
      <w:start w:val="1"/>
      <w:numFmt w:val="bullet"/>
      <w:lvlText w:val="o"/>
      <w:lvlJc w:val="left"/>
      <w:pPr>
        <w:ind w:left="1440" w:hanging="360"/>
      </w:pPr>
      <w:rPr>
        <w:rFonts w:ascii="Courier New" w:hAnsi="Courier New" w:hint="default"/>
      </w:rPr>
    </w:lvl>
    <w:lvl w:ilvl="2" w:tplc="690447AA">
      <w:start w:val="1"/>
      <w:numFmt w:val="bullet"/>
      <w:lvlText w:val=""/>
      <w:lvlJc w:val="left"/>
      <w:pPr>
        <w:ind w:left="2160" w:hanging="360"/>
      </w:pPr>
      <w:rPr>
        <w:rFonts w:ascii="Wingdings" w:hAnsi="Wingdings" w:hint="default"/>
      </w:rPr>
    </w:lvl>
    <w:lvl w:ilvl="3" w:tplc="BAE6B556">
      <w:start w:val="1"/>
      <w:numFmt w:val="bullet"/>
      <w:lvlText w:val=""/>
      <w:lvlJc w:val="left"/>
      <w:pPr>
        <w:ind w:left="2880" w:hanging="360"/>
      </w:pPr>
      <w:rPr>
        <w:rFonts w:ascii="Symbol" w:hAnsi="Symbol" w:hint="default"/>
      </w:rPr>
    </w:lvl>
    <w:lvl w:ilvl="4" w:tplc="2F448FAA">
      <w:start w:val="1"/>
      <w:numFmt w:val="bullet"/>
      <w:lvlText w:val="o"/>
      <w:lvlJc w:val="left"/>
      <w:pPr>
        <w:ind w:left="3600" w:hanging="360"/>
      </w:pPr>
      <w:rPr>
        <w:rFonts w:ascii="Courier New" w:hAnsi="Courier New" w:hint="default"/>
      </w:rPr>
    </w:lvl>
    <w:lvl w:ilvl="5" w:tplc="1054DB2A">
      <w:start w:val="1"/>
      <w:numFmt w:val="bullet"/>
      <w:lvlText w:val=""/>
      <w:lvlJc w:val="left"/>
      <w:pPr>
        <w:ind w:left="4320" w:hanging="360"/>
      </w:pPr>
      <w:rPr>
        <w:rFonts w:ascii="Wingdings" w:hAnsi="Wingdings" w:hint="default"/>
      </w:rPr>
    </w:lvl>
    <w:lvl w:ilvl="6" w:tplc="6B38C630">
      <w:start w:val="1"/>
      <w:numFmt w:val="bullet"/>
      <w:lvlText w:val=""/>
      <w:lvlJc w:val="left"/>
      <w:pPr>
        <w:ind w:left="5040" w:hanging="360"/>
      </w:pPr>
      <w:rPr>
        <w:rFonts w:ascii="Symbol" w:hAnsi="Symbol" w:hint="default"/>
      </w:rPr>
    </w:lvl>
    <w:lvl w:ilvl="7" w:tplc="9D567290">
      <w:start w:val="1"/>
      <w:numFmt w:val="bullet"/>
      <w:lvlText w:val="o"/>
      <w:lvlJc w:val="left"/>
      <w:pPr>
        <w:ind w:left="5760" w:hanging="360"/>
      </w:pPr>
      <w:rPr>
        <w:rFonts w:ascii="Courier New" w:hAnsi="Courier New" w:hint="default"/>
      </w:rPr>
    </w:lvl>
    <w:lvl w:ilvl="8" w:tplc="83EA08A6">
      <w:start w:val="1"/>
      <w:numFmt w:val="bullet"/>
      <w:lvlText w:val=""/>
      <w:lvlJc w:val="left"/>
      <w:pPr>
        <w:ind w:left="6480" w:hanging="360"/>
      </w:pPr>
      <w:rPr>
        <w:rFonts w:ascii="Wingdings" w:hAnsi="Wingdings" w:hint="default"/>
      </w:rPr>
    </w:lvl>
  </w:abstractNum>
  <w:abstractNum w:abstractNumId="24" w15:restartNumberingAfterBreak="0">
    <w:nsid w:val="53D562ED"/>
    <w:multiLevelType w:val="hybridMultilevel"/>
    <w:tmpl w:val="AE5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64E99"/>
    <w:multiLevelType w:val="multilevel"/>
    <w:tmpl w:val="0C660E98"/>
    <w:styleLink w:val="CurrentList12"/>
    <w:lvl w:ilvl="0">
      <w:start w:val="1"/>
      <w:numFmt w:val="decimal"/>
      <w:lvlText w:val="%1"/>
      <w:lvlJc w:val="left"/>
      <w:pPr>
        <w:ind w:left="340" w:hanging="340"/>
      </w:pPr>
      <w:rPr>
        <w:rFonts w:ascii="Aptos ExtraBold" w:hAnsi="Aptos ExtraBold" w:hint="default"/>
        <w:b w:val="0"/>
        <w:i w:val="0"/>
        <w:color w:val="E84621"/>
        <w:sz w:val="20"/>
      </w:rPr>
    </w:lvl>
    <w:lvl w:ilvl="1">
      <w:start w:val="1"/>
      <w:numFmt w:val="lowerLetter"/>
      <w:lvlText w:val="%2"/>
      <w:lvlJc w:val="left"/>
      <w:pPr>
        <w:tabs>
          <w:tab w:val="num" w:pos="624"/>
        </w:tabs>
        <w:ind w:left="624" w:hanging="284"/>
      </w:pPr>
      <w:rPr>
        <w:rFonts w:asciiTheme="minorHAnsi" w:hAnsiTheme="minorHAnsi" w:hint="default"/>
        <w:b/>
        <w:i w:val="0"/>
        <w:color w:val="808080" w:themeColor="background1" w:themeShade="80"/>
        <w:sz w:val="20"/>
      </w:rPr>
    </w:lvl>
    <w:lvl w:ilvl="2">
      <w:start w:val="1"/>
      <w:numFmt w:val="lowerRoman"/>
      <w:lvlText w:val="%3"/>
      <w:lvlJc w:val="left"/>
      <w:pPr>
        <w:tabs>
          <w:tab w:val="num" w:pos="908"/>
        </w:tabs>
        <w:ind w:left="851" w:hanging="227"/>
      </w:pPr>
      <w:rPr>
        <w:rFonts w:asciiTheme="minorHAnsi" w:hAnsiTheme="minorHAnsi" w:hint="default"/>
        <w:b/>
        <w:i w:val="0"/>
        <w:color w:val="808080" w:themeColor="background1" w:themeShade="80"/>
        <w:sz w:val="20"/>
      </w:rPr>
    </w:lvl>
    <w:lvl w:ilvl="3">
      <w:start w:val="1"/>
      <w:numFmt w:val="bullet"/>
      <w:lvlText w:val=""/>
      <w:lvlJc w:val="left"/>
      <w:pPr>
        <w:ind w:left="1134" w:hanging="283"/>
      </w:pPr>
      <w:rPr>
        <w:rFonts w:ascii="Symbol" w:hAnsi="Symbol" w:hint="default"/>
        <w:b w:val="0"/>
        <w:i w:val="0"/>
        <w:color w:val="A6A6A6" w:themeColor="background1" w:themeShade="A6"/>
        <w:w w:val="120"/>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6" w15:restartNumberingAfterBreak="0">
    <w:nsid w:val="5B16297F"/>
    <w:multiLevelType w:val="multilevel"/>
    <w:tmpl w:val="BECE7A8C"/>
    <w:lvl w:ilvl="0">
      <w:start w:val="1"/>
      <w:numFmt w:val="decimal"/>
      <w:lvlText w:val="%1"/>
      <w:lvlJc w:val="left"/>
      <w:pPr>
        <w:ind w:left="340" w:hanging="340"/>
      </w:pPr>
      <w:rPr>
        <w:rFonts w:ascii="Aptos ExtraBold" w:hAnsi="Aptos ExtraBold" w:hint="default"/>
        <w:b/>
        <w:i w:val="0"/>
        <w:color w:val="29398F" w:themeColor="accent2"/>
        <w:sz w:val="20"/>
      </w:rPr>
    </w:lvl>
    <w:lvl w:ilvl="1">
      <w:start w:val="1"/>
      <w:numFmt w:val="lowerLetter"/>
      <w:lvlText w:val="%2"/>
      <w:lvlJc w:val="left"/>
      <w:pPr>
        <w:ind w:left="624" w:hanging="284"/>
      </w:pPr>
      <w:rPr>
        <w:rFonts w:asciiTheme="minorHAnsi" w:hAnsiTheme="minorHAnsi"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7" w15:restartNumberingAfterBreak="0">
    <w:nsid w:val="5BDE0EC5"/>
    <w:multiLevelType w:val="multilevel"/>
    <w:tmpl w:val="4A66A64E"/>
    <w:styleLink w:val="CurrentList9"/>
    <w:lvl w:ilvl="0">
      <w:start w:val="1"/>
      <w:numFmt w:val="decimal"/>
      <w:lvlText w:val="%1"/>
      <w:lvlJc w:val="left"/>
      <w:pPr>
        <w:ind w:left="340" w:hanging="340"/>
      </w:pPr>
      <w:rPr>
        <w:rFonts w:ascii="Aptos ExtraBold" w:hAnsi="Aptos ExtraBold" w:hint="default"/>
        <w:b w:val="0"/>
        <w:i w:val="0"/>
        <w:color w:val="2C2D84"/>
        <w:sz w:val="20"/>
      </w:rPr>
    </w:lvl>
    <w:lvl w:ilvl="1">
      <w:start w:val="1"/>
      <w:numFmt w:val="lowerLetter"/>
      <w:lvlText w:val="%2"/>
      <w:lvlJc w:val="left"/>
      <w:pPr>
        <w:tabs>
          <w:tab w:val="num" w:pos="624"/>
        </w:tabs>
        <w:ind w:left="624" w:hanging="284"/>
      </w:pPr>
      <w:rPr>
        <w:rFonts w:asciiTheme="minorHAnsi" w:hAnsiTheme="minorHAnsi" w:hint="default"/>
        <w:b/>
        <w:i w:val="0"/>
        <w:color w:val="808080" w:themeColor="background1" w:themeShade="80"/>
        <w:sz w:val="20"/>
      </w:rPr>
    </w:lvl>
    <w:lvl w:ilvl="2">
      <w:start w:val="1"/>
      <w:numFmt w:val="lowerRoman"/>
      <w:lvlText w:val="%3."/>
      <w:lvlJc w:val="left"/>
      <w:pPr>
        <w:tabs>
          <w:tab w:val="num" w:pos="908"/>
        </w:tabs>
        <w:ind w:left="851" w:hanging="227"/>
      </w:pPr>
      <w:rPr>
        <w:rFonts w:asciiTheme="minorHAnsi" w:hAnsiTheme="minorHAnsi" w:hint="default"/>
        <w:b/>
        <w:i w:val="0"/>
        <w:color w:val="808080" w:themeColor="background1" w:themeShade="80"/>
        <w:sz w:val="20"/>
      </w:rPr>
    </w:lvl>
    <w:lvl w:ilvl="3">
      <w:start w:val="1"/>
      <w:numFmt w:val="bullet"/>
      <w:lvlText w:val=""/>
      <w:lvlJc w:val="left"/>
      <w:pPr>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8" w15:restartNumberingAfterBreak="0">
    <w:nsid w:val="5EE12130"/>
    <w:multiLevelType w:val="multilevel"/>
    <w:tmpl w:val="1C069A06"/>
    <w:styleLink w:val="CurrentList10"/>
    <w:lvl w:ilvl="0">
      <w:start w:val="1"/>
      <w:numFmt w:val="decimal"/>
      <w:lvlText w:val="%1"/>
      <w:lvlJc w:val="left"/>
      <w:pPr>
        <w:ind w:left="340" w:hanging="340"/>
      </w:pPr>
      <w:rPr>
        <w:rFonts w:ascii="Aptos ExtraBold" w:hAnsi="Aptos ExtraBold" w:hint="default"/>
        <w:b w:val="0"/>
        <w:i w:val="0"/>
        <w:color w:val="2C2D84"/>
        <w:sz w:val="20"/>
      </w:rPr>
    </w:lvl>
    <w:lvl w:ilvl="1">
      <w:start w:val="1"/>
      <w:numFmt w:val="lowerLetter"/>
      <w:lvlText w:val="%2"/>
      <w:lvlJc w:val="left"/>
      <w:pPr>
        <w:tabs>
          <w:tab w:val="num" w:pos="624"/>
        </w:tabs>
        <w:ind w:left="624" w:hanging="284"/>
      </w:pPr>
      <w:rPr>
        <w:rFonts w:asciiTheme="minorHAnsi" w:hAnsiTheme="minorHAnsi" w:hint="default"/>
        <w:b/>
        <w:i w:val="0"/>
        <w:color w:val="808080" w:themeColor="background1" w:themeShade="80"/>
        <w:sz w:val="20"/>
      </w:rPr>
    </w:lvl>
    <w:lvl w:ilvl="2">
      <w:start w:val="1"/>
      <w:numFmt w:val="lowerRoman"/>
      <w:lvlText w:val="%3"/>
      <w:lvlJc w:val="left"/>
      <w:pPr>
        <w:tabs>
          <w:tab w:val="num" w:pos="908"/>
        </w:tabs>
        <w:ind w:left="851" w:hanging="227"/>
      </w:pPr>
      <w:rPr>
        <w:rFonts w:asciiTheme="minorHAnsi" w:hAnsiTheme="minorHAnsi" w:hint="default"/>
        <w:b/>
        <w:i w:val="0"/>
        <w:color w:val="808080" w:themeColor="background1" w:themeShade="80"/>
        <w:sz w:val="20"/>
      </w:rPr>
    </w:lvl>
    <w:lvl w:ilvl="3">
      <w:start w:val="1"/>
      <w:numFmt w:val="bullet"/>
      <w:lvlText w:val=""/>
      <w:lvlJc w:val="left"/>
      <w:pPr>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9"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30" w15:restartNumberingAfterBreak="0">
    <w:nsid w:val="656B15A9"/>
    <w:multiLevelType w:val="multilevel"/>
    <w:tmpl w:val="F49483D6"/>
    <w:lvl w:ilvl="0">
      <w:start w:val="1"/>
      <w:numFmt w:val="decimal"/>
      <w:pStyle w:val="NUMBERS"/>
      <w:lvlText w:val="%1"/>
      <w:lvlJc w:val="left"/>
      <w:pPr>
        <w:ind w:left="340" w:hanging="340"/>
      </w:pPr>
      <w:rPr>
        <w:rFonts w:ascii="Aptos ExtraBold" w:hAnsi="Aptos ExtraBold" w:hint="default"/>
        <w:b w:val="0"/>
        <w:i w:val="0"/>
        <w:color w:val="E84621"/>
        <w:sz w:val="20"/>
      </w:rPr>
    </w:lvl>
    <w:lvl w:ilvl="1">
      <w:start w:val="1"/>
      <w:numFmt w:val="lowerLetter"/>
      <w:lvlText w:val="%2"/>
      <w:lvlJc w:val="left"/>
      <w:pPr>
        <w:ind w:left="624" w:hanging="284"/>
      </w:pPr>
      <w:rPr>
        <w:rFonts w:ascii="Aptos" w:hAnsi="Aptos" w:hint="default"/>
        <w:b/>
        <w:i w:val="0"/>
        <w:color w:val="808080" w:themeColor="background1" w:themeShade="80"/>
        <w:sz w:val="20"/>
      </w:rPr>
    </w:lvl>
    <w:lvl w:ilvl="2">
      <w:start w:val="1"/>
      <w:numFmt w:val="lowerRoman"/>
      <w:lvlText w:val="%3"/>
      <w:lvlJc w:val="left"/>
      <w:pPr>
        <w:tabs>
          <w:tab w:val="num" w:pos="908"/>
        </w:tabs>
        <w:ind w:left="851" w:hanging="227"/>
      </w:pPr>
      <w:rPr>
        <w:rFonts w:asciiTheme="minorHAnsi" w:hAnsiTheme="minorHAnsi" w:hint="default"/>
        <w:b/>
        <w:i w:val="0"/>
        <w:color w:val="808080" w:themeColor="background1" w:themeShade="80"/>
        <w:sz w:val="20"/>
      </w:rPr>
    </w:lvl>
    <w:lvl w:ilvl="3">
      <w:start w:val="1"/>
      <w:numFmt w:val="bullet"/>
      <w:lvlText w:val=""/>
      <w:lvlJc w:val="left"/>
      <w:pPr>
        <w:ind w:left="1134" w:hanging="283"/>
      </w:pPr>
      <w:rPr>
        <w:rFonts w:ascii="Symbol" w:hAnsi="Symbol" w:hint="default"/>
        <w:b w:val="0"/>
        <w:i w:val="0"/>
        <w:color w:val="A6A6A6" w:themeColor="background1" w:themeShade="A6"/>
        <w:w w:val="120"/>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31" w15:restartNumberingAfterBreak="0">
    <w:nsid w:val="73D172BF"/>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32" w15:restartNumberingAfterBreak="0">
    <w:nsid w:val="75AF1E6D"/>
    <w:multiLevelType w:val="multilevel"/>
    <w:tmpl w:val="CAEE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863AA0"/>
    <w:multiLevelType w:val="multilevel"/>
    <w:tmpl w:val="21508564"/>
    <w:styleLink w:val="CurrentList2"/>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ind w:left="624" w:hanging="284"/>
      </w:pPr>
      <w:rPr>
        <w:rFonts w:asciiTheme="minorHAnsi" w:hAnsiTheme="minorHAnsi"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34" w15:restartNumberingAfterBreak="0">
    <w:nsid w:val="7F8C0004"/>
    <w:multiLevelType w:val="multilevel"/>
    <w:tmpl w:val="B5528598"/>
    <w:styleLink w:val="CurrentList6"/>
    <w:lvl w:ilvl="0">
      <w:start w:val="1"/>
      <w:numFmt w:val="decimal"/>
      <w:lvlText w:val="%1"/>
      <w:lvlJc w:val="left"/>
      <w:pPr>
        <w:ind w:left="340" w:hanging="340"/>
      </w:pPr>
      <w:rPr>
        <w:rFonts w:ascii="Aptos ExtraBold" w:hAnsi="Aptos ExtraBold" w:hint="default"/>
        <w:b/>
        <w:i w:val="0"/>
        <w:color w:val="29398F" w:themeColor="accent2"/>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num w:numId="1" w16cid:durableId="864443116">
    <w:abstractNumId w:val="1"/>
  </w:num>
  <w:num w:numId="2" w16cid:durableId="787772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7297115">
    <w:abstractNumId w:val="10"/>
  </w:num>
  <w:num w:numId="4" w16cid:durableId="993339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5431797">
    <w:abstractNumId w:val="26"/>
  </w:num>
  <w:num w:numId="6" w16cid:durableId="1295939785">
    <w:abstractNumId w:val="24"/>
  </w:num>
  <w:num w:numId="7" w16cid:durableId="1962103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5951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4107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23759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9631035">
    <w:abstractNumId w:val="8"/>
  </w:num>
  <w:num w:numId="12" w16cid:durableId="509873206">
    <w:abstractNumId w:val="11"/>
  </w:num>
  <w:num w:numId="13" w16cid:durableId="1880849614">
    <w:abstractNumId w:val="16"/>
  </w:num>
  <w:num w:numId="14" w16cid:durableId="514224227">
    <w:abstractNumId w:val="29"/>
  </w:num>
  <w:num w:numId="15" w16cid:durableId="1285774376">
    <w:abstractNumId w:val="9"/>
  </w:num>
  <w:num w:numId="16" w16cid:durableId="8470153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30327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10865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9505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2081408">
    <w:abstractNumId w:val="1"/>
  </w:num>
  <w:num w:numId="21" w16cid:durableId="15045843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98039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32523">
    <w:abstractNumId w:val="31"/>
  </w:num>
  <w:num w:numId="24" w16cid:durableId="549001117">
    <w:abstractNumId w:val="12"/>
  </w:num>
  <w:num w:numId="25" w16cid:durableId="1569146753">
    <w:abstractNumId w:val="33"/>
  </w:num>
  <w:num w:numId="26" w16cid:durableId="991834004">
    <w:abstractNumId w:val="4"/>
  </w:num>
  <w:num w:numId="27" w16cid:durableId="1461535520">
    <w:abstractNumId w:val="30"/>
  </w:num>
  <w:num w:numId="28" w16cid:durableId="14111234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455719">
    <w:abstractNumId w:val="6"/>
  </w:num>
  <w:num w:numId="30" w16cid:durableId="211187287">
    <w:abstractNumId w:val="20"/>
  </w:num>
  <w:num w:numId="31" w16cid:durableId="3733870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4390263">
    <w:abstractNumId w:val="34"/>
  </w:num>
  <w:num w:numId="33" w16cid:durableId="2045279781">
    <w:abstractNumId w:val="5"/>
  </w:num>
  <w:num w:numId="34" w16cid:durableId="1120952328">
    <w:abstractNumId w:val="13"/>
  </w:num>
  <w:num w:numId="35" w16cid:durableId="4088426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8220546">
    <w:abstractNumId w:val="27"/>
  </w:num>
  <w:num w:numId="37" w16cid:durableId="1756900878">
    <w:abstractNumId w:val="28"/>
  </w:num>
  <w:num w:numId="38" w16cid:durableId="392579595">
    <w:abstractNumId w:val="0"/>
  </w:num>
  <w:num w:numId="39" w16cid:durableId="76370274">
    <w:abstractNumId w:val="25"/>
  </w:num>
  <w:num w:numId="40" w16cid:durableId="128403796">
    <w:abstractNumId w:val="3"/>
  </w:num>
  <w:num w:numId="41" w16cid:durableId="2022855691">
    <w:abstractNumId w:val="23"/>
  </w:num>
  <w:num w:numId="42" w16cid:durableId="875199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4410873">
    <w:abstractNumId w:val="22"/>
  </w:num>
  <w:num w:numId="44" w16cid:durableId="17659200">
    <w:abstractNumId w:val="32"/>
  </w:num>
  <w:num w:numId="45" w16cid:durableId="1268462606">
    <w:abstractNumId w:val="19"/>
  </w:num>
  <w:num w:numId="46" w16cid:durableId="519316771">
    <w:abstractNumId w:val="7"/>
  </w:num>
  <w:num w:numId="47" w16cid:durableId="167018112">
    <w:abstractNumId w:val="18"/>
  </w:num>
  <w:num w:numId="48" w16cid:durableId="1257401005">
    <w:abstractNumId w:val="2"/>
  </w:num>
  <w:num w:numId="49" w16cid:durableId="1812094046">
    <w:abstractNumId w:val="21"/>
  </w:num>
  <w:num w:numId="50" w16cid:durableId="936450193">
    <w:abstractNumId w:val="15"/>
  </w:num>
  <w:num w:numId="51" w16cid:durableId="3173442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F1"/>
    <w:rsid w:val="00000037"/>
    <w:rsid w:val="00000428"/>
    <w:rsid w:val="0000056C"/>
    <w:rsid w:val="000009B3"/>
    <w:rsid w:val="00001417"/>
    <w:rsid w:val="00003077"/>
    <w:rsid w:val="00005969"/>
    <w:rsid w:val="0000691B"/>
    <w:rsid w:val="00006E27"/>
    <w:rsid w:val="0000703D"/>
    <w:rsid w:val="00013875"/>
    <w:rsid w:val="00014221"/>
    <w:rsid w:val="00021D43"/>
    <w:rsid w:val="00022751"/>
    <w:rsid w:val="0002637A"/>
    <w:rsid w:val="000359EA"/>
    <w:rsid w:val="00036745"/>
    <w:rsid w:val="0004314A"/>
    <w:rsid w:val="000460A0"/>
    <w:rsid w:val="000460F3"/>
    <w:rsid w:val="0005149A"/>
    <w:rsid w:val="0005275A"/>
    <w:rsid w:val="00053DE2"/>
    <w:rsid w:val="0005505A"/>
    <w:rsid w:val="000626EE"/>
    <w:rsid w:val="00063804"/>
    <w:rsid w:val="000658E3"/>
    <w:rsid w:val="00066AEF"/>
    <w:rsid w:val="0007587F"/>
    <w:rsid w:val="00083D43"/>
    <w:rsid w:val="0008436E"/>
    <w:rsid w:val="000857FA"/>
    <w:rsid w:val="00087A85"/>
    <w:rsid w:val="00090197"/>
    <w:rsid w:val="000945EA"/>
    <w:rsid w:val="00095E92"/>
    <w:rsid w:val="000961E7"/>
    <w:rsid w:val="00096EEC"/>
    <w:rsid w:val="000A4254"/>
    <w:rsid w:val="000A6697"/>
    <w:rsid w:val="000A6C51"/>
    <w:rsid w:val="000B4E6A"/>
    <w:rsid w:val="000B56AD"/>
    <w:rsid w:val="000B7CED"/>
    <w:rsid w:val="000C25DD"/>
    <w:rsid w:val="000C3978"/>
    <w:rsid w:val="000C65F2"/>
    <w:rsid w:val="000D12BE"/>
    <w:rsid w:val="000D21C8"/>
    <w:rsid w:val="000D3E31"/>
    <w:rsid w:val="000D78F5"/>
    <w:rsid w:val="000E43BC"/>
    <w:rsid w:val="000E57E7"/>
    <w:rsid w:val="000F0498"/>
    <w:rsid w:val="000F08B0"/>
    <w:rsid w:val="000F2A31"/>
    <w:rsid w:val="000F5028"/>
    <w:rsid w:val="000F5A46"/>
    <w:rsid w:val="000F6EB2"/>
    <w:rsid w:val="00100851"/>
    <w:rsid w:val="001011B4"/>
    <w:rsid w:val="00102572"/>
    <w:rsid w:val="00105E89"/>
    <w:rsid w:val="00106B64"/>
    <w:rsid w:val="00107A6E"/>
    <w:rsid w:val="0011072C"/>
    <w:rsid w:val="00115E68"/>
    <w:rsid w:val="00115E95"/>
    <w:rsid w:val="00116086"/>
    <w:rsid w:val="0011747A"/>
    <w:rsid w:val="00123B74"/>
    <w:rsid w:val="00124C83"/>
    <w:rsid w:val="001263BC"/>
    <w:rsid w:val="00127652"/>
    <w:rsid w:val="00127F8D"/>
    <w:rsid w:val="00130E19"/>
    <w:rsid w:val="001339CE"/>
    <w:rsid w:val="0013419F"/>
    <w:rsid w:val="00134211"/>
    <w:rsid w:val="00136BD2"/>
    <w:rsid w:val="001413AE"/>
    <w:rsid w:val="00142F64"/>
    <w:rsid w:val="00153193"/>
    <w:rsid w:val="00154080"/>
    <w:rsid w:val="0016101F"/>
    <w:rsid w:val="00163E5D"/>
    <w:rsid w:val="00164DF0"/>
    <w:rsid w:val="00165D72"/>
    <w:rsid w:val="001667D2"/>
    <w:rsid w:val="00167581"/>
    <w:rsid w:val="001746D8"/>
    <w:rsid w:val="00176637"/>
    <w:rsid w:val="00176741"/>
    <w:rsid w:val="001826A4"/>
    <w:rsid w:val="00183D24"/>
    <w:rsid w:val="00183ED5"/>
    <w:rsid w:val="0018693A"/>
    <w:rsid w:val="0019061B"/>
    <w:rsid w:val="00190D0D"/>
    <w:rsid w:val="001913C4"/>
    <w:rsid w:val="001A4295"/>
    <w:rsid w:val="001B5F8D"/>
    <w:rsid w:val="001B7AA7"/>
    <w:rsid w:val="001C1ACF"/>
    <w:rsid w:val="001C3594"/>
    <w:rsid w:val="001C39AE"/>
    <w:rsid w:val="001C4047"/>
    <w:rsid w:val="001C4AED"/>
    <w:rsid w:val="001D51F2"/>
    <w:rsid w:val="001D5CB3"/>
    <w:rsid w:val="001E02FF"/>
    <w:rsid w:val="001E2A78"/>
    <w:rsid w:val="001E2D42"/>
    <w:rsid w:val="001E2E29"/>
    <w:rsid w:val="001E3DE9"/>
    <w:rsid w:val="001E41B1"/>
    <w:rsid w:val="001E62F2"/>
    <w:rsid w:val="001E66A6"/>
    <w:rsid w:val="001E6A49"/>
    <w:rsid w:val="001E73C5"/>
    <w:rsid w:val="001F01E7"/>
    <w:rsid w:val="001F0852"/>
    <w:rsid w:val="001F2FD5"/>
    <w:rsid w:val="001F3AFB"/>
    <w:rsid w:val="001F4541"/>
    <w:rsid w:val="001F5EDC"/>
    <w:rsid w:val="001F69C0"/>
    <w:rsid w:val="001F6A6A"/>
    <w:rsid w:val="001F6FD8"/>
    <w:rsid w:val="002005B8"/>
    <w:rsid w:val="00201C2E"/>
    <w:rsid w:val="002119DE"/>
    <w:rsid w:val="00213D45"/>
    <w:rsid w:val="00214F74"/>
    <w:rsid w:val="00216AA6"/>
    <w:rsid w:val="00217667"/>
    <w:rsid w:val="00221606"/>
    <w:rsid w:val="00225492"/>
    <w:rsid w:val="002313C5"/>
    <w:rsid w:val="0023155F"/>
    <w:rsid w:val="002335EE"/>
    <w:rsid w:val="002356DA"/>
    <w:rsid w:val="002358F9"/>
    <w:rsid w:val="00235E99"/>
    <w:rsid w:val="0024331F"/>
    <w:rsid w:val="002433E4"/>
    <w:rsid w:val="00246C07"/>
    <w:rsid w:val="00251BB5"/>
    <w:rsid w:val="00254DD4"/>
    <w:rsid w:val="00262764"/>
    <w:rsid w:val="00262E41"/>
    <w:rsid w:val="00263A98"/>
    <w:rsid w:val="0026773C"/>
    <w:rsid w:val="002713F1"/>
    <w:rsid w:val="002766D1"/>
    <w:rsid w:val="00280460"/>
    <w:rsid w:val="00282E25"/>
    <w:rsid w:val="00285182"/>
    <w:rsid w:val="0028689D"/>
    <w:rsid w:val="00287035"/>
    <w:rsid w:val="00293FED"/>
    <w:rsid w:val="002949A3"/>
    <w:rsid w:val="00296489"/>
    <w:rsid w:val="002A214C"/>
    <w:rsid w:val="002A4624"/>
    <w:rsid w:val="002A675F"/>
    <w:rsid w:val="002B010D"/>
    <w:rsid w:val="002B0BF2"/>
    <w:rsid w:val="002B1565"/>
    <w:rsid w:val="002B3E85"/>
    <w:rsid w:val="002B40BE"/>
    <w:rsid w:val="002B58A5"/>
    <w:rsid w:val="002C2539"/>
    <w:rsid w:val="002C2E11"/>
    <w:rsid w:val="002D0613"/>
    <w:rsid w:val="002D3C61"/>
    <w:rsid w:val="002D4411"/>
    <w:rsid w:val="002D6A27"/>
    <w:rsid w:val="002D6CB0"/>
    <w:rsid w:val="002E1CDC"/>
    <w:rsid w:val="002E1E40"/>
    <w:rsid w:val="002F070B"/>
    <w:rsid w:val="002F086B"/>
    <w:rsid w:val="002F2467"/>
    <w:rsid w:val="002F5C58"/>
    <w:rsid w:val="002F7FB0"/>
    <w:rsid w:val="00300A91"/>
    <w:rsid w:val="0031487C"/>
    <w:rsid w:val="00315364"/>
    <w:rsid w:val="0031782F"/>
    <w:rsid w:val="00321D97"/>
    <w:rsid w:val="0033146F"/>
    <w:rsid w:val="00332D19"/>
    <w:rsid w:val="00333F93"/>
    <w:rsid w:val="003402C3"/>
    <w:rsid w:val="00344F27"/>
    <w:rsid w:val="00345F22"/>
    <w:rsid w:val="00346A64"/>
    <w:rsid w:val="00352F71"/>
    <w:rsid w:val="0035595F"/>
    <w:rsid w:val="00355CC0"/>
    <w:rsid w:val="00361276"/>
    <w:rsid w:val="00364FE1"/>
    <w:rsid w:val="0036787E"/>
    <w:rsid w:val="003741BC"/>
    <w:rsid w:val="003744B8"/>
    <w:rsid w:val="00376E43"/>
    <w:rsid w:val="003772E3"/>
    <w:rsid w:val="003778E6"/>
    <w:rsid w:val="00382052"/>
    <w:rsid w:val="003835A1"/>
    <w:rsid w:val="00387CA6"/>
    <w:rsid w:val="003905B9"/>
    <w:rsid w:val="00392297"/>
    <w:rsid w:val="003936EC"/>
    <w:rsid w:val="00397641"/>
    <w:rsid w:val="003A03F9"/>
    <w:rsid w:val="003A173E"/>
    <w:rsid w:val="003A225E"/>
    <w:rsid w:val="003A2BFF"/>
    <w:rsid w:val="003A5049"/>
    <w:rsid w:val="003A6EA7"/>
    <w:rsid w:val="003B5A51"/>
    <w:rsid w:val="003C268A"/>
    <w:rsid w:val="003C6051"/>
    <w:rsid w:val="003C7757"/>
    <w:rsid w:val="003D1509"/>
    <w:rsid w:val="003D2CBD"/>
    <w:rsid w:val="003D3709"/>
    <w:rsid w:val="003D4795"/>
    <w:rsid w:val="003D5419"/>
    <w:rsid w:val="003D5620"/>
    <w:rsid w:val="003D7C81"/>
    <w:rsid w:val="003E2F0E"/>
    <w:rsid w:val="003E3EE5"/>
    <w:rsid w:val="003E574A"/>
    <w:rsid w:val="003E733B"/>
    <w:rsid w:val="003E7E6E"/>
    <w:rsid w:val="00401655"/>
    <w:rsid w:val="00401D72"/>
    <w:rsid w:val="00405B8D"/>
    <w:rsid w:val="00406000"/>
    <w:rsid w:val="004072F3"/>
    <w:rsid w:val="004103A5"/>
    <w:rsid w:val="00410A3E"/>
    <w:rsid w:val="004121A3"/>
    <w:rsid w:val="00413955"/>
    <w:rsid w:val="00413EB3"/>
    <w:rsid w:val="004154CF"/>
    <w:rsid w:val="004157CE"/>
    <w:rsid w:val="0042048D"/>
    <w:rsid w:val="00420AC8"/>
    <w:rsid w:val="00421F0D"/>
    <w:rsid w:val="004227F1"/>
    <w:rsid w:val="00424BC2"/>
    <w:rsid w:val="00425396"/>
    <w:rsid w:val="004261F3"/>
    <w:rsid w:val="004279E6"/>
    <w:rsid w:val="00432EFC"/>
    <w:rsid w:val="0043684A"/>
    <w:rsid w:val="00441C4D"/>
    <w:rsid w:val="00442BDB"/>
    <w:rsid w:val="004431E5"/>
    <w:rsid w:val="00445345"/>
    <w:rsid w:val="0044585A"/>
    <w:rsid w:val="00446090"/>
    <w:rsid w:val="0044790B"/>
    <w:rsid w:val="004507EC"/>
    <w:rsid w:val="004517AF"/>
    <w:rsid w:val="004522D8"/>
    <w:rsid w:val="00453A2E"/>
    <w:rsid w:val="00453BAE"/>
    <w:rsid w:val="00454899"/>
    <w:rsid w:val="004608F1"/>
    <w:rsid w:val="00460E1B"/>
    <w:rsid w:val="00462E5F"/>
    <w:rsid w:val="00462EDF"/>
    <w:rsid w:val="00463CBF"/>
    <w:rsid w:val="00467077"/>
    <w:rsid w:val="0047102E"/>
    <w:rsid w:val="00475154"/>
    <w:rsid w:val="00476E10"/>
    <w:rsid w:val="004820F9"/>
    <w:rsid w:val="00482669"/>
    <w:rsid w:val="00484C9A"/>
    <w:rsid w:val="00485009"/>
    <w:rsid w:val="00485BC5"/>
    <w:rsid w:val="0048666C"/>
    <w:rsid w:val="004873B5"/>
    <w:rsid w:val="00491520"/>
    <w:rsid w:val="004A0B39"/>
    <w:rsid w:val="004A10E9"/>
    <w:rsid w:val="004A31CE"/>
    <w:rsid w:val="004A45DF"/>
    <w:rsid w:val="004A4DEF"/>
    <w:rsid w:val="004A50D3"/>
    <w:rsid w:val="004B5B33"/>
    <w:rsid w:val="004B5C0C"/>
    <w:rsid w:val="004B7BAE"/>
    <w:rsid w:val="004C05C5"/>
    <w:rsid w:val="004C28C9"/>
    <w:rsid w:val="004C2903"/>
    <w:rsid w:val="004C3EB7"/>
    <w:rsid w:val="004D131D"/>
    <w:rsid w:val="004D1432"/>
    <w:rsid w:val="004D46BA"/>
    <w:rsid w:val="004D5020"/>
    <w:rsid w:val="004E0B82"/>
    <w:rsid w:val="004E1752"/>
    <w:rsid w:val="004E377E"/>
    <w:rsid w:val="004E73C1"/>
    <w:rsid w:val="004E7433"/>
    <w:rsid w:val="004E7D8C"/>
    <w:rsid w:val="004F0ED2"/>
    <w:rsid w:val="004F3AB7"/>
    <w:rsid w:val="004F5A79"/>
    <w:rsid w:val="005001A0"/>
    <w:rsid w:val="0050045C"/>
    <w:rsid w:val="0050091A"/>
    <w:rsid w:val="00505AED"/>
    <w:rsid w:val="00506C58"/>
    <w:rsid w:val="00512411"/>
    <w:rsid w:val="00513DB0"/>
    <w:rsid w:val="00517822"/>
    <w:rsid w:val="00517F4F"/>
    <w:rsid w:val="00522D09"/>
    <w:rsid w:val="00522EE7"/>
    <w:rsid w:val="00525C1D"/>
    <w:rsid w:val="005306A5"/>
    <w:rsid w:val="00530D5A"/>
    <w:rsid w:val="0053318D"/>
    <w:rsid w:val="005355AE"/>
    <w:rsid w:val="00536E1A"/>
    <w:rsid w:val="005410CE"/>
    <w:rsid w:val="0054689C"/>
    <w:rsid w:val="005472F4"/>
    <w:rsid w:val="00557965"/>
    <w:rsid w:val="00561C03"/>
    <w:rsid w:val="00562285"/>
    <w:rsid w:val="005663EF"/>
    <w:rsid w:val="005679F9"/>
    <w:rsid w:val="00567AA7"/>
    <w:rsid w:val="005711E5"/>
    <w:rsid w:val="00581010"/>
    <w:rsid w:val="0058218B"/>
    <w:rsid w:val="00587933"/>
    <w:rsid w:val="00591663"/>
    <w:rsid w:val="00591F36"/>
    <w:rsid w:val="00592526"/>
    <w:rsid w:val="00592C28"/>
    <w:rsid w:val="00594165"/>
    <w:rsid w:val="005941BD"/>
    <w:rsid w:val="00594E83"/>
    <w:rsid w:val="005951BF"/>
    <w:rsid w:val="00596CEB"/>
    <w:rsid w:val="00596E2A"/>
    <w:rsid w:val="005977DB"/>
    <w:rsid w:val="00597E2B"/>
    <w:rsid w:val="005B08F5"/>
    <w:rsid w:val="005B0DDE"/>
    <w:rsid w:val="005B0DDF"/>
    <w:rsid w:val="005B15F0"/>
    <w:rsid w:val="005B15FF"/>
    <w:rsid w:val="005B1D1A"/>
    <w:rsid w:val="005B2986"/>
    <w:rsid w:val="005B4873"/>
    <w:rsid w:val="005C0376"/>
    <w:rsid w:val="005C5431"/>
    <w:rsid w:val="005C5E89"/>
    <w:rsid w:val="005C69A8"/>
    <w:rsid w:val="005C69C8"/>
    <w:rsid w:val="005D062D"/>
    <w:rsid w:val="005D2027"/>
    <w:rsid w:val="005D4CF4"/>
    <w:rsid w:val="005D4D52"/>
    <w:rsid w:val="005D5C22"/>
    <w:rsid w:val="005E3CCF"/>
    <w:rsid w:val="005E40A4"/>
    <w:rsid w:val="005E77AD"/>
    <w:rsid w:val="005E7D28"/>
    <w:rsid w:val="005F2478"/>
    <w:rsid w:val="005F677E"/>
    <w:rsid w:val="00600853"/>
    <w:rsid w:val="00601E0B"/>
    <w:rsid w:val="006026B7"/>
    <w:rsid w:val="006070CB"/>
    <w:rsid w:val="00611780"/>
    <w:rsid w:val="0061630E"/>
    <w:rsid w:val="00616A15"/>
    <w:rsid w:val="0061780D"/>
    <w:rsid w:val="00617DD2"/>
    <w:rsid w:val="00620923"/>
    <w:rsid w:val="006234C6"/>
    <w:rsid w:val="0062489D"/>
    <w:rsid w:val="006251EE"/>
    <w:rsid w:val="00626DB7"/>
    <w:rsid w:val="00634665"/>
    <w:rsid w:val="00635251"/>
    <w:rsid w:val="00635B33"/>
    <w:rsid w:val="00637672"/>
    <w:rsid w:val="00637DD9"/>
    <w:rsid w:val="0064012E"/>
    <w:rsid w:val="00643772"/>
    <w:rsid w:val="00643860"/>
    <w:rsid w:val="00645CDA"/>
    <w:rsid w:val="0064659B"/>
    <w:rsid w:val="00650D5A"/>
    <w:rsid w:val="00651786"/>
    <w:rsid w:val="00651F5B"/>
    <w:rsid w:val="0065420E"/>
    <w:rsid w:val="006545C7"/>
    <w:rsid w:val="0065467E"/>
    <w:rsid w:val="00660994"/>
    <w:rsid w:val="00665CF3"/>
    <w:rsid w:val="00670F19"/>
    <w:rsid w:val="00676997"/>
    <w:rsid w:val="006771DD"/>
    <w:rsid w:val="00677429"/>
    <w:rsid w:val="00677CB4"/>
    <w:rsid w:val="00677F5C"/>
    <w:rsid w:val="006879B7"/>
    <w:rsid w:val="006935EF"/>
    <w:rsid w:val="00693C01"/>
    <w:rsid w:val="00693F70"/>
    <w:rsid w:val="00695AB1"/>
    <w:rsid w:val="00697323"/>
    <w:rsid w:val="006A375D"/>
    <w:rsid w:val="006A646F"/>
    <w:rsid w:val="006A7B05"/>
    <w:rsid w:val="006A7E5F"/>
    <w:rsid w:val="006B0FE7"/>
    <w:rsid w:val="006B145D"/>
    <w:rsid w:val="006B3B52"/>
    <w:rsid w:val="006B6E9E"/>
    <w:rsid w:val="006B78B7"/>
    <w:rsid w:val="006C0251"/>
    <w:rsid w:val="006C029F"/>
    <w:rsid w:val="006C1D60"/>
    <w:rsid w:val="006C3B2B"/>
    <w:rsid w:val="006C3E3D"/>
    <w:rsid w:val="006C4B4C"/>
    <w:rsid w:val="006D0A02"/>
    <w:rsid w:val="006D0F12"/>
    <w:rsid w:val="006D166A"/>
    <w:rsid w:val="006D4E42"/>
    <w:rsid w:val="006D75B5"/>
    <w:rsid w:val="006E0D4C"/>
    <w:rsid w:val="006F2B67"/>
    <w:rsid w:val="006F4427"/>
    <w:rsid w:val="006F510B"/>
    <w:rsid w:val="006F79EA"/>
    <w:rsid w:val="00700999"/>
    <w:rsid w:val="00703BD2"/>
    <w:rsid w:val="00704C36"/>
    <w:rsid w:val="00705199"/>
    <w:rsid w:val="007070BF"/>
    <w:rsid w:val="00710FC2"/>
    <w:rsid w:val="0071167F"/>
    <w:rsid w:val="00714817"/>
    <w:rsid w:val="0071600A"/>
    <w:rsid w:val="0072004C"/>
    <w:rsid w:val="00720CF3"/>
    <w:rsid w:val="00721154"/>
    <w:rsid w:val="00726CD5"/>
    <w:rsid w:val="007279E8"/>
    <w:rsid w:val="00727EE9"/>
    <w:rsid w:val="0073025D"/>
    <w:rsid w:val="00730DB3"/>
    <w:rsid w:val="007327E4"/>
    <w:rsid w:val="00733E7C"/>
    <w:rsid w:val="00735110"/>
    <w:rsid w:val="0073577A"/>
    <w:rsid w:val="007403D9"/>
    <w:rsid w:val="00740460"/>
    <w:rsid w:val="0074151E"/>
    <w:rsid w:val="00741B25"/>
    <w:rsid w:val="00744B53"/>
    <w:rsid w:val="007500F2"/>
    <w:rsid w:val="007563D0"/>
    <w:rsid w:val="00756E04"/>
    <w:rsid w:val="00756FEF"/>
    <w:rsid w:val="0076118D"/>
    <w:rsid w:val="00763601"/>
    <w:rsid w:val="00771263"/>
    <w:rsid w:val="007722C7"/>
    <w:rsid w:val="00772C93"/>
    <w:rsid w:val="0077682D"/>
    <w:rsid w:val="0077712A"/>
    <w:rsid w:val="00781022"/>
    <w:rsid w:val="00782456"/>
    <w:rsid w:val="007841EE"/>
    <w:rsid w:val="00784891"/>
    <w:rsid w:val="007901CD"/>
    <w:rsid w:val="00790408"/>
    <w:rsid w:val="00791134"/>
    <w:rsid w:val="00791154"/>
    <w:rsid w:val="00793537"/>
    <w:rsid w:val="00795B50"/>
    <w:rsid w:val="00796655"/>
    <w:rsid w:val="00797D0E"/>
    <w:rsid w:val="007A0510"/>
    <w:rsid w:val="007A145E"/>
    <w:rsid w:val="007A2A93"/>
    <w:rsid w:val="007A328C"/>
    <w:rsid w:val="007A45E9"/>
    <w:rsid w:val="007A4880"/>
    <w:rsid w:val="007A489B"/>
    <w:rsid w:val="007A4D9B"/>
    <w:rsid w:val="007B2746"/>
    <w:rsid w:val="007C1BB3"/>
    <w:rsid w:val="007C24A0"/>
    <w:rsid w:val="007C424F"/>
    <w:rsid w:val="007C60B6"/>
    <w:rsid w:val="007C7C50"/>
    <w:rsid w:val="007D22AF"/>
    <w:rsid w:val="007D5DB2"/>
    <w:rsid w:val="007E0382"/>
    <w:rsid w:val="007F1665"/>
    <w:rsid w:val="007F3ABC"/>
    <w:rsid w:val="007F3B6F"/>
    <w:rsid w:val="007F40EC"/>
    <w:rsid w:val="007F6A38"/>
    <w:rsid w:val="007F783D"/>
    <w:rsid w:val="00807C31"/>
    <w:rsid w:val="008129A2"/>
    <w:rsid w:val="00817849"/>
    <w:rsid w:val="00822BC1"/>
    <w:rsid w:val="00827C2A"/>
    <w:rsid w:val="00831109"/>
    <w:rsid w:val="008327BF"/>
    <w:rsid w:val="008333FF"/>
    <w:rsid w:val="00835FDA"/>
    <w:rsid w:val="00841BE2"/>
    <w:rsid w:val="0084213D"/>
    <w:rsid w:val="00843153"/>
    <w:rsid w:val="008446BC"/>
    <w:rsid w:val="00851AD3"/>
    <w:rsid w:val="00852C85"/>
    <w:rsid w:val="008535E2"/>
    <w:rsid w:val="00857EDB"/>
    <w:rsid w:val="008609A5"/>
    <w:rsid w:val="008619C3"/>
    <w:rsid w:val="00863ACE"/>
    <w:rsid w:val="00864E2C"/>
    <w:rsid w:val="00866150"/>
    <w:rsid w:val="00870E3A"/>
    <w:rsid w:val="00874782"/>
    <w:rsid w:val="00874C2A"/>
    <w:rsid w:val="0087638C"/>
    <w:rsid w:val="00876A2C"/>
    <w:rsid w:val="0088195E"/>
    <w:rsid w:val="00881C83"/>
    <w:rsid w:val="00890CBE"/>
    <w:rsid w:val="008918DF"/>
    <w:rsid w:val="00891CF0"/>
    <w:rsid w:val="008A27E5"/>
    <w:rsid w:val="008A7945"/>
    <w:rsid w:val="008B126D"/>
    <w:rsid w:val="008B5492"/>
    <w:rsid w:val="008B77EC"/>
    <w:rsid w:val="008D3856"/>
    <w:rsid w:val="008E217F"/>
    <w:rsid w:val="008E3472"/>
    <w:rsid w:val="008E453E"/>
    <w:rsid w:val="008E4A9B"/>
    <w:rsid w:val="008E5C70"/>
    <w:rsid w:val="008E6DFC"/>
    <w:rsid w:val="008E71C1"/>
    <w:rsid w:val="008F1E8A"/>
    <w:rsid w:val="008F3D7D"/>
    <w:rsid w:val="008F3FC3"/>
    <w:rsid w:val="008F3FDB"/>
    <w:rsid w:val="008F4A49"/>
    <w:rsid w:val="00902525"/>
    <w:rsid w:val="009062CE"/>
    <w:rsid w:val="00906325"/>
    <w:rsid w:val="00906D58"/>
    <w:rsid w:val="009104DA"/>
    <w:rsid w:val="00911F73"/>
    <w:rsid w:val="00915E95"/>
    <w:rsid w:val="0091619A"/>
    <w:rsid w:val="009174F2"/>
    <w:rsid w:val="00924938"/>
    <w:rsid w:val="00927201"/>
    <w:rsid w:val="00934C7C"/>
    <w:rsid w:val="00942C07"/>
    <w:rsid w:val="00943A27"/>
    <w:rsid w:val="009445A4"/>
    <w:rsid w:val="00947F53"/>
    <w:rsid w:val="0095175E"/>
    <w:rsid w:val="00952151"/>
    <w:rsid w:val="009541EB"/>
    <w:rsid w:val="00956BEB"/>
    <w:rsid w:val="00960A51"/>
    <w:rsid w:val="00961402"/>
    <w:rsid w:val="009624F5"/>
    <w:rsid w:val="009727A9"/>
    <w:rsid w:val="00976B12"/>
    <w:rsid w:val="009777F9"/>
    <w:rsid w:val="009828ED"/>
    <w:rsid w:val="00983348"/>
    <w:rsid w:val="00983E37"/>
    <w:rsid w:val="00987F91"/>
    <w:rsid w:val="00990FEA"/>
    <w:rsid w:val="00992329"/>
    <w:rsid w:val="00994831"/>
    <w:rsid w:val="00996185"/>
    <w:rsid w:val="009A2686"/>
    <w:rsid w:val="009A2E02"/>
    <w:rsid w:val="009A3352"/>
    <w:rsid w:val="009A3790"/>
    <w:rsid w:val="009A5EEC"/>
    <w:rsid w:val="009A60AA"/>
    <w:rsid w:val="009A6897"/>
    <w:rsid w:val="009B2E77"/>
    <w:rsid w:val="009B3051"/>
    <w:rsid w:val="009B3B17"/>
    <w:rsid w:val="009B55A7"/>
    <w:rsid w:val="009B6B2B"/>
    <w:rsid w:val="009B78F0"/>
    <w:rsid w:val="009B7B0E"/>
    <w:rsid w:val="009C27B2"/>
    <w:rsid w:val="009C2A56"/>
    <w:rsid w:val="009D28CE"/>
    <w:rsid w:val="009D3A8E"/>
    <w:rsid w:val="009D409C"/>
    <w:rsid w:val="009D4E7F"/>
    <w:rsid w:val="009D5B04"/>
    <w:rsid w:val="009E10B2"/>
    <w:rsid w:val="009E1C14"/>
    <w:rsid w:val="009E310E"/>
    <w:rsid w:val="009F0222"/>
    <w:rsid w:val="009F2B32"/>
    <w:rsid w:val="00A02CCF"/>
    <w:rsid w:val="00A06CB2"/>
    <w:rsid w:val="00A1108E"/>
    <w:rsid w:val="00A11997"/>
    <w:rsid w:val="00A133F9"/>
    <w:rsid w:val="00A151E6"/>
    <w:rsid w:val="00A21FEF"/>
    <w:rsid w:val="00A234D3"/>
    <w:rsid w:val="00A24F44"/>
    <w:rsid w:val="00A2538C"/>
    <w:rsid w:val="00A2599E"/>
    <w:rsid w:val="00A33A98"/>
    <w:rsid w:val="00A34DE8"/>
    <w:rsid w:val="00A3530F"/>
    <w:rsid w:val="00A36978"/>
    <w:rsid w:val="00A37EB4"/>
    <w:rsid w:val="00A402E0"/>
    <w:rsid w:val="00A441EF"/>
    <w:rsid w:val="00A449CB"/>
    <w:rsid w:val="00A45987"/>
    <w:rsid w:val="00A461C0"/>
    <w:rsid w:val="00A5039A"/>
    <w:rsid w:val="00A51093"/>
    <w:rsid w:val="00A5253B"/>
    <w:rsid w:val="00A53E02"/>
    <w:rsid w:val="00A5519C"/>
    <w:rsid w:val="00A576B8"/>
    <w:rsid w:val="00A6357F"/>
    <w:rsid w:val="00A64252"/>
    <w:rsid w:val="00A66A85"/>
    <w:rsid w:val="00A7519A"/>
    <w:rsid w:val="00A866FE"/>
    <w:rsid w:val="00A872A8"/>
    <w:rsid w:val="00A901FA"/>
    <w:rsid w:val="00A9051A"/>
    <w:rsid w:val="00A91B6E"/>
    <w:rsid w:val="00A9207B"/>
    <w:rsid w:val="00A97E60"/>
    <w:rsid w:val="00AA2E60"/>
    <w:rsid w:val="00AA2F82"/>
    <w:rsid w:val="00AA4605"/>
    <w:rsid w:val="00AB156E"/>
    <w:rsid w:val="00AB372A"/>
    <w:rsid w:val="00AB3A30"/>
    <w:rsid w:val="00AB420C"/>
    <w:rsid w:val="00AB4C57"/>
    <w:rsid w:val="00AB4E91"/>
    <w:rsid w:val="00AB5093"/>
    <w:rsid w:val="00AB56BA"/>
    <w:rsid w:val="00AB7863"/>
    <w:rsid w:val="00AC53B0"/>
    <w:rsid w:val="00AD298A"/>
    <w:rsid w:val="00AE047E"/>
    <w:rsid w:val="00AE4D10"/>
    <w:rsid w:val="00AE672F"/>
    <w:rsid w:val="00AF2F68"/>
    <w:rsid w:val="00AF3D2A"/>
    <w:rsid w:val="00AF3FF9"/>
    <w:rsid w:val="00AF60A9"/>
    <w:rsid w:val="00AF7010"/>
    <w:rsid w:val="00B00291"/>
    <w:rsid w:val="00B023DB"/>
    <w:rsid w:val="00B025F8"/>
    <w:rsid w:val="00B043B0"/>
    <w:rsid w:val="00B05628"/>
    <w:rsid w:val="00B11DCF"/>
    <w:rsid w:val="00B14CE5"/>
    <w:rsid w:val="00B15FDF"/>
    <w:rsid w:val="00B2548A"/>
    <w:rsid w:val="00B26332"/>
    <w:rsid w:val="00B27054"/>
    <w:rsid w:val="00B318AE"/>
    <w:rsid w:val="00B32A6A"/>
    <w:rsid w:val="00B331C4"/>
    <w:rsid w:val="00B33BEE"/>
    <w:rsid w:val="00B34311"/>
    <w:rsid w:val="00B375BC"/>
    <w:rsid w:val="00B42342"/>
    <w:rsid w:val="00B45A82"/>
    <w:rsid w:val="00B504BA"/>
    <w:rsid w:val="00B50763"/>
    <w:rsid w:val="00B51732"/>
    <w:rsid w:val="00B51EB3"/>
    <w:rsid w:val="00B55174"/>
    <w:rsid w:val="00B5573E"/>
    <w:rsid w:val="00B55E71"/>
    <w:rsid w:val="00B57616"/>
    <w:rsid w:val="00B63A8A"/>
    <w:rsid w:val="00B672AF"/>
    <w:rsid w:val="00B67FEC"/>
    <w:rsid w:val="00B745B2"/>
    <w:rsid w:val="00B748A7"/>
    <w:rsid w:val="00B7534D"/>
    <w:rsid w:val="00B80529"/>
    <w:rsid w:val="00B809DF"/>
    <w:rsid w:val="00B80FE0"/>
    <w:rsid w:val="00B84F3C"/>
    <w:rsid w:val="00B86EFF"/>
    <w:rsid w:val="00B90B02"/>
    <w:rsid w:val="00B93A80"/>
    <w:rsid w:val="00B946B1"/>
    <w:rsid w:val="00B94F9C"/>
    <w:rsid w:val="00B95610"/>
    <w:rsid w:val="00B96700"/>
    <w:rsid w:val="00BA055D"/>
    <w:rsid w:val="00BA06F2"/>
    <w:rsid w:val="00BA2597"/>
    <w:rsid w:val="00BA391A"/>
    <w:rsid w:val="00BA5EBA"/>
    <w:rsid w:val="00BA60BC"/>
    <w:rsid w:val="00BA6C64"/>
    <w:rsid w:val="00BA6D46"/>
    <w:rsid w:val="00BB1806"/>
    <w:rsid w:val="00BB21F9"/>
    <w:rsid w:val="00BB40B3"/>
    <w:rsid w:val="00BB480F"/>
    <w:rsid w:val="00BB64CD"/>
    <w:rsid w:val="00BB6DF7"/>
    <w:rsid w:val="00BB7E9B"/>
    <w:rsid w:val="00BC1CD0"/>
    <w:rsid w:val="00BC1DDC"/>
    <w:rsid w:val="00BC2F54"/>
    <w:rsid w:val="00BC57D1"/>
    <w:rsid w:val="00BC63AA"/>
    <w:rsid w:val="00BD4571"/>
    <w:rsid w:val="00BD563A"/>
    <w:rsid w:val="00BD66AD"/>
    <w:rsid w:val="00BE00D8"/>
    <w:rsid w:val="00BE0CD3"/>
    <w:rsid w:val="00BE1E74"/>
    <w:rsid w:val="00BE548F"/>
    <w:rsid w:val="00BE692F"/>
    <w:rsid w:val="00BE6FB2"/>
    <w:rsid w:val="00BE709E"/>
    <w:rsid w:val="00BF03E2"/>
    <w:rsid w:val="00BF4937"/>
    <w:rsid w:val="00BF5427"/>
    <w:rsid w:val="00BF7B0C"/>
    <w:rsid w:val="00C016F9"/>
    <w:rsid w:val="00C044E5"/>
    <w:rsid w:val="00C045CE"/>
    <w:rsid w:val="00C0490B"/>
    <w:rsid w:val="00C06544"/>
    <w:rsid w:val="00C110A0"/>
    <w:rsid w:val="00C1211D"/>
    <w:rsid w:val="00C156BF"/>
    <w:rsid w:val="00C160C5"/>
    <w:rsid w:val="00C20E3F"/>
    <w:rsid w:val="00C22517"/>
    <w:rsid w:val="00C22973"/>
    <w:rsid w:val="00C23318"/>
    <w:rsid w:val="00C23DFB"/>
    <w:rsid w:val="00C24ECA"/>
    <w:rsid w:val="00C32983"/>
    <w:rsid w:val="00C3345C"/>
    <w:rsid w:val="00C34AA1"/>
    <w:rsid w:val="00C34AD0"/>
    <w:rsid w:val="00C36978"/>
    <w:rsid w:val="00C4240D"/>
    <w:rsid w:val="00C43588"/>
    <w:rsid w:val="00C47D44"/>
    <w:rsid w:val="00C51E08"/>
    <w:rsid w:val="00C53EC6"/>
    <w:rsid w:val="00C57BAA"/>
    <w:rsid w:val="00C60696"/>
    <w:rsid w:val="00C60C37"/>
    <w:rsid w:val="00C61B05"/>
    <w:rsid w:val="00C64633"/>
    <w:rsid w:val="00C64906"/>
    <w:rsid w:val="00C66415"/>
    <w:rsid w:val="00C66650"/>
    <w:rsid w:val="00C75EF6"/>
    <w:rsid w:val="00C830DE"/>
    <w:rsid w:val="00C865C3"/>
    <w:rsid w:val="00C91FBD"/>
    <w:rsid w:val="00C93333"/>
    <w:rsid w:val="00C9428E"/>
    <w:rsid w:val="00C944EF"/>
    <w:rsid w:val="00C94D73"/>
    <w:rsid w:val="00C95AC9"/>
    <w:rsid w:val="00C9697E"/>
    <w:rsid w:val="00CA0146"/>
    <w:rsid w:val="00CA0974"/>
    <w:rsid w:val="00CA2C82"/>
    <w:rsid w:val="00CA61AB"/>
    <w:rsid w:val="00CB206C"/>
    <w:rsid w:val="00CB23D1"/>
    <w:rsid w:val="00CB36DE"/>
    <w:rsid w:val="00CC2CE2"/>
    <w:rsid w:val="00CC3172"/>
    <w:rsid w:val="00CC38A7"/>
    <w:rsid w:val="00CC42BC"/>
    <w:rsid w:val="00CC5611"/>
    <w:rsid w:val="00CC5DF8"/>
    <w:rsid w:val="00CC7553"/>
    <w:rsid w:val="00CD47CC"/>
    <w:rsid w:val="00CD4ADA"/>
    <w:rsid w:val="00CD71F8"/>
    <w:rsid w:val="00CD7F44"/>
    <w:rsid w:val="00CE12FB"/>
    <w:rsid w:val="00CE2608"/>
    <w:rsid w:val="00CE46B0"/>
    <w:rsid w:val="00CF2641"/>
    <w:rsid w:val="00CF5448"/>
    <w:rsid w:val="00CF7390"/>
    <w:rsid w:val="00D00BCB"/>
    <w:rsid w:val="00D00FCE"/>
    <w:rsid w:val="00D01C8B"/>
    <w:rsid w:val="00D04A26"/>
    <w:rsid w:val="00D07572"/>
    <w:rsid w:val="00D158DB"/>
    <w:rsid w:val="00D15A4F"/>
    <w:rsid w:val="00D17A5B"/>
    <w:rsid w:val="00D20208"/>
    <w:rsid w:val="00D20DBD"/>
    <w:rsid w:val="00D235AE"/>
    <w:rsid w:val="00D2538A"/>
    <w:rsid w:val="00D3298A"/>
    <w:rsid w:val="00D32F13"/>
    <w:rsid w:val="00D330D0"/>
    <w:rsid w:val="00D33F42"/>
    <w:rsid w:val="00D41D7C"/>
    <w:rsid w:val="00D42C23"/>
    <w:rsid w:val="00D452E6"/>
    <w:rsid w:val="00D50D9B"/>
    <w:rsid w:val="00D51EDC"/>
    <w:rsid w:val="00D52082"/>
    <w:rsid w:val="00D5739B"/>
    <w:rsid w:val="00D62D62"/>
    <w:rsid w:val="00D65E29"/>
    <w:rsid w:val="00D72078"/>
    <w:rsid w:val="00D72198"/>
    <w:rsid w:val="00D72A24"/>
    <w:rsid w:val="00D73CBE"/>
    <w:rsid w:val="00D75549"/>
    <w:rsid w:val="00D75BAC"/>
    <w:rsid w:val="00D76E4C"/>
    <w:rsid w:val="00D76EF9"/>
    <w:rsid w:val="00D806CB"/>
    <w:rsid w:val="00D812BF"/>
    <w:rsid w:val="00D81715"/>
    <w:rsid w:val="00D82BFB"/>
    <w:rsid w:val="00D863F1"/>
    <w:rsid w:val="00D95090"/>
    <w:rsid w:val="00D95A4C"/>
    <w:rsid w:val="00D975F3"/>
    <w:rsid w:val="00DA3B60"/>
    <w:rsid w:val="00DA4330"/>
    <w:rsid w:val="00DA48D2"/>
    <w:rsid w:val="00DA649B"/>
    <w:rsid w:val="00DB1627"/>
    <w:rsid w:val="00DB67AA"/>
    <w:rsid w:val="00DC04FB"/>
    <w:rsid w:val="00DC108A"/>
    <w:rsid w:val="00DC13C3"/>
    <w:rsid w:val="00DC33BA"/>
    <w:rsid w:val="00DC7E7E"/>
    <w:rsid w:val="00DD253C"/>
    <w:rsid w:val="00DD6124"/>
    <w:rsid w:val="00DE1B9B"/>
    <w:rsid w:val="00DE2947"/>
    <w:rsid w:val="00DF551B"/>
    <w:rsid w:val="00DF5E8C"/>
    <w:rsid w:val="00E02C19"/>
    <w:rsid w:val="00E03B01"/>
    <w:rsid w:val="00E051E5"/>
    <w:rsid w:val="00E07D94"/>
    <w:rsid w:val="00E108A2"/>
    <w:rsid w:val="00E10B1B"/>
    <w:rsid w:val="00E22895"/>
    <w:rsid w:val="00E23DB8"/>
    <w:rsid w:val="00E247A9"/>
    <w:rsid w:val="00E259F0"/>
    <w:rsid w:val="00E30373"/>
    <w:rsid w:val="00E365F1"/>
    <w:rsid w:val="00E36FA5"/>
    <w:rsid w:val="00E40BD4"/>
    <w:rsid w:val="00E41024"/>
    <w:rsid w:val="00E42993"/>
    <w:rsid w:val="00E4310A"/>
    <w:rsid w:val="00E44AA7"/>
    <w:rsid w:val="00E4539A"/>
    <w:rsid w:val="00E507E1"/>
    <w:rsid w:val="00E50B83"/>
    <w:rsid w:val="00E541EA"/>
    <w:rsid w:val="00E6165E"/>
    <w:rsid w:val="00E62EF8"/>
    <w:rsid w:val="00E6533A"/>
    <w:rsid w:val="00E72F9B"/>
    <w:rsid w:val="00E730DF"/>
    <w:rsid w:val="00E74A8A"/>
    <w:rsid w:val="00E75CDD"/>
    <w:rsid w:val="00E8003B"/>
    <w:rsid w:val="00E814B2"/>
    <w:rsid w:val="00E82B09"/>
    <w:rsid w:val="00E837D4"/>
    <w:rsid w:val="00E842BC"/>
    <w:rsid w:val="00E84602"/>
    <w:rsid w:val="00E92A1C"/>
    <w:rsid w:val="00E9766A"/>
    <w:rsid w:val="00EA7D97"/>
    <w:rsid w:val="00EA7E60"/>
    <w:rsid w:val="00EB0D3D"/>
    <w:rsid w:val="00EB3816"/>
    <w:rsid w:val="00EC0448"/>
    <w:rsid w:val="00EC1496"/>
    <w:rsid w:val="00EC4614"/>
    <w:rsid w:val="00EC482F"/>
    <w:rsid w:val="00ED330C"/>
    <w:rsid w:val="00EE1A8C"/>
    <w:rsid w:val="00EE2670"/>
    <w:rsid w:val="00EE2C5F"/>
    <w:rsid w:val="00EE2C7A"/>
    <w:rsid w:val="00EF1314"/>
    <w:rsid w:val="00EF24BE"/>
    <w:rsid w:val="00EF25AB"/>
    <w:rsid w:val="00EF2F54"/>
    <w:rsid w:val="00EF3529"/>
    <w:rsid w:val="00EF3600"/>
    <w:rsid w:val="00EF3D19"/>
    <w:rsid w:val="00EF48C2"/>
    <w:rsid w:val="00EF505D"/>
    <w:rsid w:val="00F00129"/>
    <w:rsid w:val="00F002E2"/>
    <w:rsid w:val="00F10AB6"/>
    <w:rsid w:val="00F11952"/>
    <w:rsid w:val="00F140B0"/>
    <w:rsid w:val="00F14433"/>
    <w:rsid w:val="00F148F9"/>
    <w:rsid w:val="00F154DD"/>
    <w:rsid w:val="00F16F0E"/>
    <w:rsid w:val="00F20CB6"/>
    <w:rsid w:val="00F22F59"/>
    <w:rsid w:val="00F257BF"/>
    <w:rsid w:val="00F27F62"/>
    <w:rsid w:val="00F31494"/>
    <w:rsid w:val="00F32F04"/>
    <w:rsid w:val="00F356CE"/>
    <w:rsid w:val="00F35C54"/>
    <w:rsid w:val="00F36E05"/>
    <w:rsid w:val="00F37D01"/>
    <w:rsid w:val="00F4163B"/>
    <w:rsid w:val="00F44332"/>
    <w:rsid w:val="00F4534E"/>
    <w:rsid w:val="00F469B8"/>
    <w:rsid w:val="00F51D41"/>
    <w:rsid w:val="00F5239B"/>
    <w:rsid w:val="00F52A1D"/>
    <w:rsid w:val="00F55EEB"/>
    <w:rsid w:val="00F56A0B"/>
    <w:rsid w:val="00F6125F"/>
    <w:rsid w:val="00F63AD3"/>
    <w:rsid w:val="00F6510C"/>
    <w:rsid w:val="00F70D34"/>
    <w:rsid w:val="00F730BA"/>
    <w:rsid w:val="00F80A41"/>
    <w:rsid w:val="00F84945"/>
    <w:rsid w:val="00F84D10"/>
    <w:rsid w:val="00F90C8A"/>
    <w:rsid w:val="00F926B6"/>
    <w:rsid w:val="00F977A0"/>
    <w:rsid w:val="00FA2F6F"/>
    <w:rsid w:val="00FA30B2"/>
    <w:rsid w:val="00FA3FC4"/>
    <w:rsid w:val="00FA4B36"/>
    <w:rsid w:val="00FA55A1"/>
    <w:rsid w:val="00FA6919"/>
    <w:rsid w:val="00FA71E3"/>
    <w:rsid w:val="00FA74BE"/>
    <w:rsid w:val="00FB08B8"/>
    <w:rsid w:val="00FB3D9C"/>
    <w:rsid w:val="00FB658F"/>
    <w:rsid w:val="00FC0BBB"/>
    <w:rsid w:val="00FC59D4"/>
    <w:rsid w:val="00FC60F1"/>
    <w:rsid w:val="00FC6152"/>
    <w:rsid w:val="00FC635C"/>
    <w:rsid w:val="00FC766F"/>
    <w:rsid w:val="00FD10CC"/>
    <w:rsid w:val="00FD466F"/>
    <w:rsid w:val="00FD68D9"/>
    <w:rsid w:val="00FD7952"/>
    <w:rsid w:val="00FE1D42"/>
    <w:rsid w:val="00FE3DCC"/>
    <w:rsid w:val="00FE6A56"/>
    <w:rsid w:val="00FF7A7F"/>
    <w:rsid w:val="0127CBD6"/>
    <w:rsid w:val="03FB9D5E"/>
    <w:rsid w:val="070C5CE3"/>
    <w:rsid w:val="0780A987"/>
    <w:rsid w:val="098B5B12"/>
    <w:rsid w:val="0C372F48"/>
    <w:rsid w:val="0C799F61"/>
    <w:rsid w:val="0D0B768A"/>
    <w:rsid w:val="0D0C184F"/>
    <w:rsid w:val="0D2AAEFC"/>
    <w:rsid w:val="0DB6A1C7"/>
    <w:rsid w:val="0EA747FE"/>
    <w:rsid w:val="0EB41E54"/>
    <w:rsid w:val="0EBF37FC"/>
    <w:rsid w:val="1059BE60"/>
    <w:rsid w:val="10FEB403"/>
    <w:rsid w:val="12D3FDEA"/>
    <w:rsid w:val="12EA721A"/>
    <w:rsid w:val="132ED426"/>
    <w:rsid w:val="13F1BC2B"/>
    <w:rsid w:val="1453FC2A"/>
    <w:rsid w:val="16D81796"/>
    <w:rsid w:val="18A9E55E"/>
    <w:rsid w:val="19A91972"/>
    <w:rsid w:val="1EB56A2E"/>
    <w:rsid w:val="2083A521"/>
    <w:rsid w:val="208BCB32"/>
    <w:rsid w:val="20BB5CA4"/>
    <w:rsid w:val="228D2ED1"/>
    <w:rsid w:val="2321F95F"/>
    <w:rsid w:val="2348DE52"/>
    <w:rsid w:val="23A08C75"/>
    <w:rsid w:val="24EFD834"/>
    <w:rsid w:val="251DF57C"/>
    <w:rsid w:val="2730834C"/>
    <w:rsid w:val="27F5E4B8"/>
    <w:rsid w:val="2B6B7105"/>
    <w:rsid w:val="2CE7B8BE"/>
    <w:rsid w:val="301D8FDF"/>
    <w:rsid w:val="3098FF7B"/>
    <w:rsid w:val="30EA3B15"/>
    <w:rsid w:val="3528F4D7"/>
    <w:rsid w:val="3586529F"/>
    <w:rsid w:val="35D595C3"/>
    <w:rsid w:val="360F29D2"/>
    <w:rsid w:val="365258C0"/>
    <w:rsid w:val="37EF67EC"/>
    <w:rsid w:val="397022F6"/>
    <w:rsid w:val="3B4E7CF7"/>
    <w:rsid w:val="3E24C29A"/>
    <w:rsid w:val="3F6C8A1A"/>
    <w:rsid w:val="3FB8BAB7"/>
    <w:rsid w:val="4010409D"/>
    <w:rsid w:val="40AADDBC"/>
    <w:rsid w:val="416E308D"/>
    <w:rsid w:val="417A823D"/>
    <w:rsid w:val="41A7E86C"/>
    <w:rsid w:val="4230706C"/>
    <w:rsid w:val="42D8E2B1"/>
    <w:rsid w:val="42DE7B58"/>
    <w:rsid w:val="46C8DDE7"/>
    <w:rsid w:val="474875B7"/>
    <w:rsid w:val="499FCABE"/>
    <w:rsid w:val="49C905B3"/>
    <w:rsid w:val="49D3C2D3"/>
    <w:rsid w:val="4A97AFA7"/>
    <w:rsid w:val="4ABF5617"/>
    <w:rsid w:val="4BADF5A0"/>
    <w:rsid w:val="4D02355C"/>
    <w:rsid w:val="4D2C6821"/>
    <w:rsid w:val="4F11681E"/>
    <w:rsid w:val="51E116A7"/>
    <w:rsid w:val="54BA9B48"/>
    <w:rsid w:val="55595F2B"/>
    <w:rsid w:val="56076131"/>
    <w:rsid w:val="57A902CC"/>
    <w:rsid w:val="593B2612"/>
    <w:rsid w:val="5978DAB1"/>
    <w:rsid w:val="5B8B94E5"/>
    <w:rsid w:val="5BF46F8D"/>
    <w:rsid w:val="5C2DFA74"/>
    <w:rsid w:val="5E35001C"/>
    <w:rsid w:val="5E51A6A2"/>
    <w:rsid w:val="5FFC9489"/>
    <w:rsid w:val="6228C1F0"/>
    <w:rsid w:val="6437A082"/>
    <w:rsid w:val="64A5E107"/>
    <w:rsid w:val="65B599AA"/>
    <w:rsid w:val="65BB2AED"/>
    <w:rsid w:val="66F379E4"/>
    <w:rsid w:val="67D625B3"/>
    <w:rsid w:val="68DE923D"/>
    <w:rsid w:val="69906128"/>
    <w:rsid w:val="6AAB3721"/>
    <w:rsid w:val="6EA77F6F"/>
    <w:rsid w:val="7138E77A"/>
    <w:rsid w:val="739D78AE"/>
    <w:rsid w:val="7451C4C5"/>
    <w:rsid w:val="74E4502B"/>
    <w:rsid w:val="779EE592"/>
    <w:rsid w:val="78202D21"/>
    <w:rsid w:val="7A22EC34"/>
    <w:rsid w:val="7A57B276"/>
    <w:rsid w:val="7B7852D2"/>
    <w:rsid w:val="7C3FF696"/>
    <w:rsid w:val="7C7C2B88"/>
    <w:rsid w:val="7D3971F8"/>
    <w:rsid w:val="7DA7D966"/>
    <w:rsid w:val="7DD07EC1"/>
    <w:rsid w:val="7E362387"/>
    <w:rsid w:val="7F542C2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70B2C6"/>
  <w15:docId w15:val="{D4EC9B56-D032-48BC-9E67-6E155DF9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A53E02"/>
    <w:pPr>
      <w:tabs>
        <w:tab w:val="center" w:pos="4513"/>
        <w:tab w:val="right" w:pos="9026"/>
      </w:tabs>
      <w:spacing w:line="240" w:lineRule="auto"/>
    </w:pPr>
    <w:rPr>
      <w:rFonts w:ascii="Aptos Light" w:hAnsi="Aptos Light"/>
    </w:rPr>
  </w:style>
  <w:style w:type="character" w:customStyle="1" w:styleId="FooterChar">
    <w:name w:val="Footer Char"/>
    <w:basedOn w:val="DefaultParagraphFont"/>
    <w:link w:val="Footer"/>
    <w:uiPriority w:val="99"/>
    <w:rsid w:val="00A53E02"/>
    <w:rPr>
      <w:rFonts w:ascii="Aptos Light" w:hAnsi="Aptos Light"/>
    </w:rPr>
  </w:style>
  <w:style w:type="paragraph" w:customStyle="1" w:styleId="H1">
    <w:name w:val="H1"/>
    <w:basedOn w:val="Normal"/>
    <w:link w:val="H1Char"/>
    <w:uiPriority w:val="2"/>
    <w:qFormat/>
    <w:rsid w:val="004154CF"/>
    <w:pPr>
      <w:spacing w:after="240" w:line="500" w:lineRule="exact"/>
    </w:pPr>
    <w:rPr>
      <w:rFonts w:ascii="Aptos Light" w:hAnsi="Aptos Light" w:cs="Times New Roman (Body CS)"/>
      <w:color w:val="2C2D84"/>
      <w:spacing w:val="-10"/>
      <w:sz w:val="48"/>
      <w:szCs w:val="48"/>
    </w:rPr>
  </w:style>
  <w:style w:type="paragraph" w:customStyle="1" w:styleId="BODY">
    <w:name w:val="BODY"/>
    <w:basedOn w:val="Normal"/>
    <w:link w:val="BODYChar"/>
    <w:qFormat/>
    <w:rsid w:val="004154CF"/>
    <w:pPr>
      <w:spacing w:line="240" w:lineRule="auto"/>
    </w:pPr>
    <w:rPr>
      <w:rFonts w:ascii="Aptos Light" w:eastAsia="Times New Roman" w:hAnsi="Aptos Light" w:cs="Times New Roman (Body CS)"/>
      <w:spacing w:val="-5"/>
      <w:sz w:val="24"/>
    </w:rPr>
  </w:style>
  <w:style w:type="character" w:customStyle="1" w:styleId="H1Char">
    <w:name w:val="H1 Char"/>
    <w:basedOn w:val="DefaultParagraphFont"/>
    <w:link w:val="H1"/>
    <w:uiPriority w:val="2"/>
    <w:rsid w:val="004154CF"/>
    <w:rPr>
      <w:rFonts w:ascii="Aptos Light" w:hAnsi="Aptos Light" w:cs="Times New Roman (Body CS)"/>
      <w:color w:val="2C2D84"/>
      <w:spacing w:val="-10"/>
      <w:sz w:val="48"/>
      <w:szCs w:val="48"/>
    </w:rPr>
  </w:style>
  <w:style w:type="paragraph" w:customStyle="1" w:styleId="H2">
    <w:name w:val="H2"/>
    <w:basedOn w:val="Normal"/>
    <w:link w:val="H2Char"/>
    <w:uiPriority w:val="3"/>
    <w:qFormat/>
    <w:rsid w:val="004154CF"/>
    <w:pPr>
      <w:spacing w:after="200" w:line="420" w:lineRule="exact"/>
    </w:pPr>
    <w:rPr>
      <w:rFonts w:ascii="Aptos Light" w:hAnsi="Aptos Light" w:cs="Times New Roman (Body CS)"/>
      <w:color w:val="00A89C" w:themeColor="accent5"/>
      <w:spacing w:val="-10"/>
      <w:sz w:val="40"/>
      <w:szCs w:val="40"/>
    </w:rPr>
  </w:style>
  <w:style w:type="character" w:customStyle="1" w:styleId="BODYChar">
    <w:name w:val="BODY Char"/>
    <w:basedOn w:val="DefaultParagraphFont"/>
    <w:link w:val="BODY"/>
    <w:rsid w:val="004154CF"/>
    <w:rPr>
      <w:rFonts w:ascii="Aptos Light" w:eastAsia="Times New Roman" w:hAnsi="Aptos Light" w:cs="Times New Roman (Body CS)"/>
      <w:spacing w:val="-5"/>
      <w:sz w:val="24"/>
    </w:rPr>
  </w:style>
  <w:style w:type="paragraph" w:customStyle="1" w:styleId="H3">
    <w:name w:val="H3"/>
    <w:basedOn w:val="Normal"/>
    <w:link w:val="H3Char"/>
    <w:uiPriority w:val="4"/>
    <w:qFormat/>
    <w:rsid w:val="004154CF"/>
    <w:pPr>
      <w:spacing w:after="180" w:line="360" w:lineRule="exact"/>
    </w:pPr>
    <w:rPr>
      <w:rFonts w:ascii="Aptos SemiBold" w:eastAsiaTheme="minorEastAsia" w:hAnsi="Aptos SemiBold"/>
      <w:b/>
      <w:bCs/>
      <w:color w:val="E84621"/>
      <w:spacing w:val="-6"/>
      <w:sz w:val="30"/>
      <w:szCs w:val="30"/>
    </w:rPr>
  </w:style>
  <w:style w:type="character" w:customStyle="1" w:styleId="H2Char">
    <w:name w:val="H2 Char"/>
    <w:basedOn w:val="DefaultParagraphFont"/>
    <w:link w:val="H2"/>
    <w:uiPriority w:val="3"/>
    <w:rsid w:val="004154CF"/>
    <w:rPr>
      <w:rFonts w:ascii="Aptos Light" w:hAnsi="Aptos Light" w:cs="Times New Roman (Body CS)"/>
      <w:color w:val="00A89C" w:themeColor="accent5"/>
      <w:spacing w:val="-10"/>
      <w:sz w:val="40"/>
      <w:szCs w:val="40"/>
    </w:rPr>
  </w:style>
  <w:style w:type="character" w:customStyle="1" w:styleId="H3Char">
    <w:name w:val="H3 Char"/>
    <w:basedOn w:val="DefaultParagraphFont"/>
    <w:link w:val="H3"/>
    <w:uiPriority w:val="4"/>
    <w:rsid w:val="004154CF"/>
    <w:rPr>
      <w:rFonts w:ascii="Aptos SemiBold" w:eastAsiaTheme="minorEastAsia" w:hAnsi="Aptos SemiBold"/>
      <w:b/>
      <w:bCs/>
      <w:color w:val="E84621"/>
      <w:spacing w:val="-6"/>
      <w:sz w:val="30"/>
      <w:szCs w:val="30"/>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7B2746"/>
    <w:pPr>
      <w:numPr>
        <w:numId w:val="1"/>
      </w:numPr>
      <w:spacing w:line="288" w:lineRule="auto"/>
    </w:pPr>
    <w:rPr>
      <w:rFonts w:ascii="Aptos Light" w:eastAsia="Times New Roman" w:hAnsi="Aptos Light"/>
      <w:sz w:val="24"/>
      <w:szCs w:val="20"/>
    </w:rPr>
  </w:style>
  <w:style w:type="paragraph" w:customStyle="1" w:styleId="CAPTION1">
    <w:name w:val="CAPTION1"/>
    <w:basedOn w:val="BODY"/>
    <w:link w:val="CAPTION1Char"/>
    <w:uiPriority w:val="6"/>
    <w:qFormat/>
    <w:rsid w:val="004154CF"/>
    <w:rPr>
      <w:rFonts w:eastAsiaTheme="minorHAnsi"/>
      <w:caps/>
      <w:color w:val="808080" w:themeColor="background1" w:themeShade="80"/>
      <w:spacing w:val="0"/>
      <w:sz w:val="22"/>
    </w:rPr>
  </w:style>
  <w:style w:type="character" w:customStyle="1" w:styleId="ListParagraphChar">
    <w:name w:val="List Paragraph Char"/>
    <w:basedOn w:val="DefaultParagraphFont"/>
    <w:link w:val="ListParagraph"/>
    <w:uiPriority w:val="34"/>
    <w:rsid w:val="00CC3172"/>
    <w:rPr>
      <w:rFonts w:ascii="Myriad Pro Light" w:hAnsi="Myriad Pro Light"/>
    </w:rPr>
  </w:style>
  <w:style w:type="character" w:customStyle="1" w:styleId="BULLETSChar">
    <w:name w:val="BULLETS Char"/>
    <w:basedOn w:val="ListParagraphChar"/>
    <w:link w:val="BULLETS"/>
    <w:uiPriority w:val="5"/>
    <w:rsid w:val="007B2746"/>
    <w:rPr>
      <w:rFonts w:ascii="Aptos Light" w:eastAsia="Times New Roman" w:hAnsi="Aptos Light"/>
      <w:sz w:val="24"/>
      <w:szCs w:val="20"/>
    </w:rPr>
  </w:style>
  <w:style w:type="character" w:customStyle="1" w:styleId="CAPTION1Char">
    <w:name w:val="CAPTION1 Char"/>
    <w:basedOn w:val="BODYChar"/>
    <w:link w:val="CAPTION1"/>
    <w:uiPriority w:val="6"/>
    <w:rsid w:val="004154CF"/>
    <w:rPr>
      <w:rFonts w:ascii="Aptos Light" w:eastAsia="Times New Roman" w:hAnsi="Aptos Light" w:cs="Times New Roman (Body CS)"/>
      <w:caps/>
      <w:color w:val="808080" w:themeColor="background1" w:themeShade="80"/>
      <w:spacing w:val="-5"/>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cs="Times New Roman (Body CS)"/>
      <w:spacing w:val="-5"/>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3E2F0E"/>
    <w:rPr>
      <w:rFonts w:ascii="Aptos" w:hAnsi="Aptos"/>
    </w:rPr>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3E2F0E"/>
    <w:rPr>
      <w:rFonts w:ascii="Aptos" w:eastAsia="Times New Roman" w:hAnsi="Aptos" w:cs="Times New Roman (Body CS)"/>
      <w:spacing w:val="-5"/>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7F3ABC"/>
    <w:pPr>
      <w:numPr>
        <w:numId w:val="27"/>
      </w:numPr>
    </w:pPr>
    <w:rPr>
      <w:rFonts w:cs="Times New Roman (Body CS)"/>
      <w:color w:val="000000" w:themeColor="text1"/>
    </w:rPr>
  </w:style>
  <w:style w:type="numbering" w:customStyle="1" w:styleId="otdBULLETSTYLE">
    <w:name w:val="otd BULLET STYLE"/>
    <w:uiPriority w:val="99"/>
    <w:rsid w:val="000D21C8"/>
    <w:pPr>
      <w:numPr>
        <w:numId w:val="14"/>
      </w:numPr>
    </w:pPr>
  </w:style>
  <w:style w:type="paragraph" w:customStyle="1" w:styleId="H4">
    <w:name w:val="H4"/>
    <w:basedOn w:val="Normal"/>
    <w:link w:val="H4Char"/>
    <w:uiPriority w:val="4"/>
    <w:qFormat/>
    <w:rsid w:val="004154CF"/>
    <w:pPr>
      <w:spacing w:after="120" w:line="320" w:lineRule="exact"/>
    </w:pPr>
    <w:rPr>
      <w:rFonts w:ascii="Aptos SemiBold" w:hAnsi="Aptos SemiBold"/>
      <w:b/>
      <w:bCs/>
      <w:color w:val="000000" w:themeColor="text1"/>
      <w:spacing w:val="-6"/>
      <w:sz w:val="26"/>
      <w:szCs w:val="26"/>
    </w:rPr>
  </w:style>
  <w:style w:type="character" w:customStyle="1" w:styleId="H4Char">
    <w:name w:val="H4 Char"/>
    <w:basedOn w:val="DefaultParagraphFont"/>
    <w:link w:val="H4"/>
    <w:uiPriority w:val="4"/>
    <w:rsid w:val="004154CF"/>
    <w:rPr>
      <w:rFonts w:ascii="Aptos SemiBold" w:hAnsi="Aptos SemiBold"/>
      <w:b/>
      <w:bCs/>
      <w:color w:val="000000" w:themeColor="text1"/>
      <w:spacing w:val="-6"/>
      <w:sz w:val="26"/>
      <w:szCs w:val="26"/>
    </w:rPr>
  </w:style>
  <w:style w:type="table" w:styleId="TableGrid">
    <w:name w:val="Table Grid"/>
    <w:basedOn w:val="TableNormal"/>
    <w:uiPriority w:val="5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A1108E"/>
    <w:pPr>
      <w:jc w:val="center"/>
    </w:pPr>
    <w:rPr>
      <w:rFonts w:ascii="Aptos" w:hAnsi="Aptos" w:cs="Times New Roman (Body CS)"/>
      <w:sz w:val="20"/>
      <w:szCs w:val="20"/>
      <w:lang w:val="en-US" w:eastAsia="en-GB"/>
    </w:rPr>
    <w:tblPr>
      <w:tblBorders>
        <w:insideH w:val="single" w:sz="18" w:space="0" w:color="FFFFFF" w:themeColor="background1"/>
      </w:tblBorders>
      <w:tblCellMar>
        <w:top w:w="85" w:type="dxa"/>
        <w:left w:w="85" w:type="dxa"/>
        <w:bottom w:w="85" w:type="dxa"/>
        <w:right w:w="85" w:type="dxa"/>
      </w:tblCellMar>
    </w:tblPr>
    <w:tblStylePr w:type="firstRow">
      <w:rPr>
        <w:rFonts w:ascii="Aptos ExtraBold" w:hAnsi="Aptos ExtraBold"/>
        <w:b/>
        <w:bCs/>
        <w:i w:val="0"/>
        <w:color w:val="FFFFFF" w:themeColor="background1"/>
        <w:sz w:val="22"/>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ascii="@Yu Gothic UI Light" w:hAnsi="@Yu Gothic UI Light"/>
        <w:b/>
        <w:color w:val="FFFFFF" w:themeColor="background1"/>
        <w:sz w:val="20"/>
      </w:rPr>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rPr>
        <w:rFonts w:ascii="Yu Gothic UI Light" w:hAnsi="Yu Gothic UI Light"/>
        <w:b/>
        <w:i w:val="0"/>
        <w:color w:val="2C2D84"/>
      </w:rPr>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rPr>
        <w:rFonts w:ascii="Yu Gothic UI Light" w:hAnsi="Yu Gothic UI Light"/>
        <w:b/>
        <w:i w:val="0"/>
        <w:color w:val="2C2D84"/>
      </w:rPr>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left"/>
      </w:pPr>
      <w:rPr>
        <w:rFonts w:ascii="Yu Gothic UI Light" w:hAnsi="Yu Gothic UI Light"/>
        <w:b/>
        <w:i w:val="0"/>
        <w:color w:val="2C2D84"/>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Mar>
          <w:top w:w="0" w:type="nil"/>
          <w:left w:w="113" w:type="dxa"/>
          <w:bottom w:w="0" w:type="nil"/>
          <w:right w:w="113" w:type="dxa"/>
        </w:tcMar>
      </w:tcPr>
    </w:tblStylePr>
    <w:tblStylePr w:type="band2Horz">
      <w:pPr>
        <w:jc w:val="left"/>
      </w:pPr>
      <w:rPr>
        <w:rFonts w:ascii="Yu Gothic UI Light" w:hAnsi="Yu Gothic UI Light"/>
        <w:b/>
        <w:i w:val="0"/>
        <w:color w:val="29398F" w:themeColor="accent2"/>
        <w:sz w:val="20"/>
      </w:rPr>
      <w:tblPr/>
      <w:tcPr>
        <w:tcBorders>
          <w:insideH w:val="single" w:sz="18" w:space="0" w:color="FFFFFF" w:themeColor="background1"/>
          <w:insideV w:val="single" w:sz="18" w:space="0" w:color="FFFFFF" w:themeColor="background1"/>
        </w:tcBorders>
        <w:shd w:val="clear" w:color="auto" w:fill="F2F2F2"/>
        <w:tcMar>
          <w:top w:w="0" w:type="nil"/>
          <w:left w:w="113" w:type="dxa"/>
          <w:bottom w:w="0" w:type="nil"/>
          <w:right w:w="113" w:type="dxa"/>
        </w:tcMar>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4154CF"/>
    <w:rPr>
      <w:rFonts w:ascii="Aptos" w:hAnsi="Aptos"/>
      <w:b/>
      <w:bCs/>
      <w:color w:val="000000" w:themeColor="text1"/>
      <w:sz w:val="22"/>
    </w:rPr>
  </w:style>
  <w:style w:type="paragraph" w:styleId="FootnoteText">
    <w:name w:val="footnote text"/>
    <w:basedOn w:val="Normal"/>
    <w:link w:val="FootnoteTextChar"/>
    <w:uiPriority w:val="99"/>
    <w:unhideWhenUsed/>
    <w:rsid w:val="00A53E02"/>
    <w:pPr>
      <w:spacing w:after="80" w:line="240" w:lineRule="auto"/>
      <w:ind w:left="85" w:hanging="85"/>
    </w:pPr>
    <w:rPr>
      <w:rFonts w:ascii="Aptos Light" w:hAnsi="Aptos Light"/>
      <w:sz w:val="18"/>
      <w:szCs w:val="20"/>
    </w:rPr>
  </w:style>
  <w:style w:type="character" w:customStyle="1" w:styleId="FootnoteTextChar">
    <w:name w:val="Footnote Text Char"/>
    <w:basedOn w:val="DefaultParagraphFont"/>
    <w:link w:val="FootnoteText"/>
    <w:uiPriority w:val="99"/>
    <w:rsid w:val="00A53E02"/>
    <w:rPr>
      <w:rFonts w:ascii="Aptos Light" w:hAnsi="Aptos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3744B8"/>
    <w:pPr>
      <w:jc w:val="center"/>
    </w:pPr>
    <w:rPr>
      <w:rFonts w:ascii="Aptos" w:hAnsi="Aptos"/>
      <w:b/>
      <w:bCs/>
      <w:color w:val="FFFFFF" w:themeColor="background1"/>
    </w:rPr>
  </w:style>
  <w:style w:type="character" w:customStyle="1" w:styleId="SETTABLEChar">
    <w:name w:val="SET TABLE Char"/>
    <w:basedOn w:val="BODYChar"/>
    <w:link w:val="SETTABLE"/>
    <w:uiPriority w:val="7"/>
    <w:rsid w:val="003744B8"/>
    <w:rPr>
      <w:rFonts w:ascii="Aptos" w:eastAsia="Times New Roman" w:hAnsi="Aptos" w:cs="Times New Roman (Body CS)"/>
      <w:b/>
      <w:bCs/>
      <w:color w:val="FFFFFF" w:themeColor="background1"/>
      <w:spacing w:val="-5"/>
      <w:sz w:val="24"/>
    </w:rPr>
  </w:style>
  <w:style w:type="character" w:styleId="UnresolvedMention">
    <w:name w:val="Unresolved Mention"/>
    <w:basedOn w:val="DefaultParagraphFont"/>
    <w:uiPriority w:val="99"/>
    <w:rsid w:val="00AD298A"/>
    <w:rPr>
      <w:color w:val="605E5C"/>
      <w:shd w:val="clear" w:color="auto" w:fill="E1DFDD"/>
    </w:rPr>
  </w:style>
  <w:style w:type="numbering" w:customStyle="1" w:styleId="CurrentList1">
    <w:name w:val="Current List1"/>
    <w:uiPriority w:val="99"/>
    <w:rsid w:val="00FC635C"/>
    <w:pPr>
      <w:numPr>
        <w:numId w:val="24"/>
      </w:numPr>
    </w:pPr>
  </w:style>
  <w:style w:type="numbering" w:customStyle="1" w:styleId="CurrentList2">
    <w:name w:val="Current List2"/>
    <w:uiPriority w:val="99"/>
    <w:rsid w:val="000B7CED"/>
    <w:pPr>
      <w:numPr>
        <w:numId w:val="25"/>
      </w:numPr>
    </w:pPr>
  </w:style>
  <w:style w:type="numbering" w:customStyle="1" w:styleId="CurrentList3">
    <w:name w:val="Current List3"/>
    <w:uiPriority w:val="99"/>
    <w:rsid w:val="000B7CED"/>
    <w:pPr>
      <w:numPr>
        <w:numId w:val="26"/>
      </w:numPr>
    </w:pPr>
  </w:style>
  <w:style w:type="numbering" w:customStyle="1" w:styleId="CurrentList4">
    <w:name w:val="Current List4"/>
    <w:uiPriority w:val="99"/>
    <w:rsid w:val="000B7CED"/>
    <w:pPr>
      <w:numPr>
        <w:numId w:val="29"/>
      </w:numPr>
    </w:pPr>
  </w:style>
  <w:style w:type="numbering" w:customStyle="1" w:styleId="CurrentList5">
    <w:name w:val="Current List5"/>
    <w:uiPriority w:val="99"/>
    <w:rsid w:val="000B7CED"/>
    <w:pPr>
      <w:numPr>
        <w:numId w:val="30"/>
      </w:numPr>
    </w:pPr>
  </w:style>
  <w:style w:type="numbering" w:customStyle="1" w:styleId="CurrentList6">
    <w:name w:val="Current List6"/>
    <w:uiPriority w:val="99"/>
    <w:rsid w:val="000B7CED"/>
    <w:pPr>
      <w:numPr>
        <w:numId w:val="32"/>
      </w:numPr>
    </w:pPr>
  </w:style>
  <w:style w:type="numbering" w:customStyle="1" w:styleId="CurrentList7">
    <w:name w:val="Current List7"/>
    <w:uiPriority w:val="99"/>
    <w:rsid w:val="000B7CED"/>
    <w:pPr>
      <w:numPr>
        <w:numId w:val="33"/>
      </w:numPr>
    </w:pPr>
  </w:style>
  <w:style w:type="numbering" w:customStyle="1" w:styleId="CurrentList8">
    <w:name w:val="Current List8"/>
    <w:uiPriority w:val="99"/>
    <w:rsid w:val="00D95090"/>
    <w:pPr>
      <w:numPr>
        <w:numId w:val="34"/>
      </w:numPr>
    </w:pPr>
  </w:style>
  <w:style w:type="numbering" w:customStyle="1" w:styleId="CurrentList9">
    <w:name w:val="Current List9"/>
    <w:uiPriority w:val="99"/>
    <w:rsid w:val="00D95090"/>
    <w:pPr>
      <w:numPr>
        <w:numId w:val="36"/>
      </w:numPr>
    </w:pPr>
  </w:style>
  <w:style w:type="numbering" w:customStyle="1" w:styleId="CurrentList10">
    <w:name w:val="Current List10"/>
    <w:uiPriority w:val="99"/>
    <w:rsid w:val="003744B8"/>
    <w:pPr>
      <w:numPr>
        <w:numId w:val="37"/>
      </w:numPr>
    </w:pPr>
  </w:style>
  <w:style w:type="numbering" w:customStyle="1" w:styleId="CurrentList11">
    <w:name w:val="Current List11"/>
    <w:uiPriority w:val="99"/>
    <w:rsid w:val="0073577A"/>
    <w:pPr>
      <w:numPr>
        <w:numId w:val="38"/>
      </w:numPr>
    </w:pPr>
  </w:style>
  <w:style w:type="numbering" w:customStyle="1" w:styleId="CurrentList12">
    <w:name w:val="Current List12"/>
    <w:uiPriority w:val="99"/>
    <w:rsid w:val="007F3ABC"/>
    <w:pPr>
      <w:numPr>
        <w:numId w:val="39"/>
      </w:numPr>
    </w:pPr>
  </w:style>
  <w:style w:type="character" w:styleId="CommentReference">
    <w:name w:val="annotation reference"/>
    <w:basedOn w:val="DefaultParagraphFont"/>
    <w:uiPriority w:val="99"/>
    <w:semiHidden/>
    <w:unhideWhenUsed/>
    <w:rsid w:val="00B504BA"/>
    <w:rPr>
      <w:sz w:val="16"/>
      <w:szCs w:val="16"/>
    </w:rPr>
  </w:style>
  <w:style w:type="paragraph" w:styleId="CommentText">
    <w:name w:val="annotation text"/>
    <w:basedOn w:val="Normal"/>
    <w:link w:val="CommentTextChar"/>
    <w:uiPriority w:val="99"/>
    <w:unhideWhenUsed/>
    <w:rsid w:val="00B504BA"/>
    <w:pPr>
      <w:spacing w:line="240" w:lineRule="auto"/>
    </w:pPr>
    <w:rPr>
      <w:sz w:val="20"/>
      <w:szCs w:val="20"/>
    </w:rPr>
  </w:style>
  <w:style w:type="character" w:customStyle="1" w:styleId="CommentTextChar">
    <w:name w:val="Comment Text Char"/>
    <w:basedOn w:val="DefaultParagraphFont"/>
    <w:link w:val="CommentText"/>
    <w:uiPriority w:val="99"/>
    <w:rsid w:val="00B504BA"/>
    <w:rPr>
      <w:rFonts w:ascii="Myriad Pro Light" w:hAnsi="Myriad Pro Light"/>
      <w:sz w:val="20"/>
      <w:szCs w:val="20"/>
    </w:rPr>
  </w:style>
  <w:style w:type="paragraph" w:styleId="CommentSubject">
    <w:name w:val="annotation subject"/>
    <w:basedOn w:val="CommentText"/>
    <w:next w:val="CommentText"/>
    <w:link w:val="CommentSubjectChar"/>
    <w:uiPriority w:val="99"/>
    <w:semiHidden/>
    <w:unhideWhenUsed/>
    <w:rsid w:val="00B504BA"/>
    <w:rPr>
      <w:b/>
      <w:bCs/>
    </w:rPr>
  </w:style>
  <w:style w:type="character" w:customStyle="1" w:styleId="CommentSubjectChar">
    <w:name w:val="Comment Subject Char"/>
    <w:basedOn w:val="CommentTextChar"/>
    <w:link w:val="CommentSubject"/>
    <w:uiPriority w:val="99"/>
    <w:semiHidden/>
    <w:rsid w:val="00B504BA"/>
    <w:rPr>
      <w:rFonts w:ascii="Myriad Pro Light" w:hAnsi="Myriad Pro Light"/>
      <w:b/>
      <w:bCs/>
      <w:sz w:val="20"/>
      <w:szCs w:val="20"/>
    </w:rPr>
  </w:style>
  <w:style w:type="paragraph" w:styleId="IntenseQuote">
    <w:name w:val="Intense Quote"/>
    <w:basedOn w:val="Normal"/>
    <w:next w:val="Normal"/>
    <w:link w:val="IntenseQuoteChar"/>
    <w:uiPriority w:val="30"/>
    <w:qFormat/>
    <w:rsid w:val="00280460"/>
    <w:pPr>
      <w:pBdr>
        <w:top w:val="single" w:sz="4" w:space="10" w:color="F0532D" w:themeColor="accent1"/>
        <w:bottom w:val="single" w:sz="4" w:space="10" w:color="F0532D" w:themeColor="accent1"/>
      </w:pBdr>
      <w:spacing w:before="360" w:after="360"/>
      <w:ind w:left="864" w:right="864"/>
      <w:jc w:val="center"/>
    </w:pPr>
    <w:rPr>
      <w:i/>
      <w:iCs/>
      <w:color w:val="F0532D" w:themeColor="accent1"/>
    </w:rPr>
  </w:style>
  <w:style w:type="character" w:customStyle="1" w:styleId="IntenseQuoteChar">
    <w:name w:val="Intense Quote Char"/>
    <w:basedOn w:val="DefaultParagraphFont"/>
    <w:link w:val="IntenseQuote"/>
    <w:uiPriority w:val="30"/>
    <w:rsid w:val="00280460"/>
    <w:rPr>
      <w:rFonts w:ascii="Myriad Pro Light" w:hAnsi="Myriad Pro Light"/>
      <w:i/>
      <w:iCs/>
      <w:color w:val="F0532D" w:themeColor="accent1"/>
    </w:rPr>
  </w:style>
  <w:style w:type="paragraph" w:styleId="Revision">
    <w:name w:val="Revision"/>
    <w:hidden/>
    <w:uiPriority w:val="99"/>
    <w:semiHidden/>
    <w:rsid w:val="005E77AD"/>
    <w:pPr>
      <w:spacing w:after="0" w:line="240" w:lineRule="auto"/>
    </w:pPr>
    <w:rPr>
      <w:rFonts w:ascii="Myriad Pro Light" w:hAnsi="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1903">
      <w:bodyDiv w:val="1"/>
      <w:marLeft w:val="0"/>
      <w:marRight w:val="0"/>
      <w:marTop w:val="0"/>
      <w:marBottom w:val="0"/>
      <w:divBdr>
        <w:top w:val="none" w:sz="0" w:space="0" w:color="auto"/>
        <w:left w:val="none" w:sz="0" w:space="0" w:color="auto"/>
        <w:bottom w:val="none" w:sz="0" w:space="0" w:color="auto"/>
        <w:right w:val="none" w:sz="0" w:space="0" w:color="auto"/>
      </w:divBdr>
    </w:div>
    <w:div w:id="121381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hsprovider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confed.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hsconfed.org/publications/transforming-nhs-estate-enable-neighbourhood-health-service" TargetMode="External"/><Relationship Id="rId13" Type="http://schemas.openxmlformats.org/officeDocument/2006/relationships/hyperlink" Target="https://www.local.gov.uk/case-studies/whitechapel-development-programme" TargetMode="External"/><Relationship Id="rId18" Type="http://schemas.openxmlformats.org/officeDocument/2006/relationships/hyperlink" Target="https://www.somersetft.nhs.uk/?news=mendip-nhs-physiotherapists-join-forces-with-local-gyms-to-offer-rehab-for-patients" TargetMode="External"/><Relationship Id="rId3" Type="http://schemas.openxmlformats.org/officeDocument/2006/relationships/hyperlink" Target="https://www.nhsconfed.org/news/capital-funding-boost-primary-and-community-care-vital-governments-three-shifts" TargetMode="External"/><Relationship Id="rId7" Type="http://schemas.openxmlformats.org/officeDocument/2006/relationships/hyperlink" Target="https://assets.publishing.service.gov.uk/media/64d0f70d7a5708001314485f/Securing_Developer_Contributions_for_Education.pdf" TargetMode="External"/><Relationship Id="rId12" Type="http://schemas.openxmlformats.org/officeDocument/2006/relationships/hyperlink" Target="https://nhsproviders.org/resources/investing-in-the-nhs-empowering-the-sector-to-drive-productivity-renewal-and-growth/there-is-significant-potential-to-increase-investment-in-the-nhs" TargetMode="External"/><Relationship Id="rId17" Type="http://schemas.openxmlformats.org/officeDocument/2006/relationships/hyperlink" Target="https://www.nhsconfed.org/system/files/media/Health%20on%20the%20High%20Street.pdf" TargetMode="External"/><Relationship Id="rId2" Type="http://schemas.openxmlformats.org/officeDocument/2006/relationships/hyperlink" Target="https://nhsproviders.org/resources/no-more-sticking-plasters-repairing-and-transforming-the-nhs-estate/capital-spending-across-the-nhs" TargetMode="External"/><Relationship Id="rId16" Type="http://schemas.openxmlformats.org/officeDocument/2006/relationships/hyperlink" Target="https://www.nhsconfed.org/case-studies/northwood-together-big-local" TargetMode="External"/><Relationship Id="rId1" Type="http://schemas.openxmlformats.org/officeDocument/2006/relationships/hyperlink" Target="https://www.nhsconfed.org/publications/invest-change" TargetMode="External"/><Relationship Id="rId6" Type="http://schemas.openxmlformats.org/officeDocument/2006/relationships/hyperlink" Target="https://www.nhsconfed.org/publications/towards-new-co-investment-model" TargetMode="External"/><Relationship Id="rId11" Type="http://schemas.openxmlformats.org/officeDocument/2006/relationships/hyperlink" Target="https://www.gov.uk/government/publications/requesting-transfers-of-nhs-property/requesting-transfers-of-nhs-property" TargetMode="External"/><Relationship Id="rId5" Type="http://schemas.openxmlformats.org/officeDocument/2006/relationships/hyperlink" Target="https://www.nhsconfed.org/publications/towards-new-co-investment-model" TargetMode="External"/><Relationship Id="rId15" Type="http://schemas.openxmlformats.org/officeDocument/2006/relationships/hyperlink" Target="https://www.nhsconfed.org/articles/neighbourhood-health-community-practice" TargetMode="External"/><Relationship Id="rId10" Type="http://schemas.openxmlformats.org/officeDocument/2006/relationships/hyperlink" Target="https://www.nhsconfed.org/publications/capital-efficiency" TargetMode="External"/><Relationship Id="rId19" Type="http://schemas.openxmlformats.org/officeDocument/2006/relationships/hyperlink" Target="https://www.nhsconfed.org/publications/future-primary-care" TargetMode="External"/><Relationship Id="rId4" Type="http://schemas.openxmlformats.org/officeDocument/2006/relationships/hyperlink" Target="https://www.nhsconfed.org/publications/towards-new-co-investment-model" TargetMode="External"/><Relationship Id="rId9" Type="http://schemas.openxmlformats.org/officeDocument/2006/relationships/hyperlink" Target="https://www.nhsconfed.org/publications/capital-efficiency" TargetMode="External"/><Relationship Id="rId14" Type="http://schemas.openxmlformats.org/officeDocument/2006/relationships/hyperlink" Target="https://www.nhsconfed.org/case-studies/par-bay-big-loc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lements\OneDrive%20-%20Foundation%20Trust%20Network\Documents\Briefings\Briefing%20template_Confed-Provides%20v2.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8" ma:contentTypeDescription="Create a new document." ma:contentTypeScope="" ma:versionID="214a8ef3f59ce0811af2d8844089ea0e">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65e83248387214eed8895fc38c4d181e"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99C6F-8078-4D82-AC20-92B6BA904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875A9-3612-B045-B096-BF12CEB9551E}">
  <ds:schemaRefs>
    <ds:schemaRef ds:uri="http://schemas.openxmlformats.org/officeDocument/2006/bibliography"/>
  </ds:schemaRefs>
</ds:datastoreItem>
</file>

<file path=customXml/itemProps3.xml><?xml version="1.0" encoding="utf-8"?>
<ds:datastoreItem xmlns:ds="http://schemas.openxmlformats.org/officeDocument/2006/customXml" ds:itemID="{62D24A80-6D50-4E95-9172-07291CBEF17C}">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4.xml><?xml version="1.0" encoding="utf-8"?>
<ds:datastoreItem xmlns:ds="http://schemas.openxmlformats.org/officeDocument/2006/customXml" ds:itemID="{D4E18F42-2AEA-4917-9557-CD34AFEC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Briefing template_Confed-Provides v2</Template>
  <TotalTime>31</TotalTime>
  <Pages>11</Pages>
  <Words>4255</Words>
  <Characters>23616</Characters>
  <Application>Microsoft Office Word</Application>
  <DocSecurity>0</DocSecurity>
  <Lines>429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27761</CharactersWithSpaces>
  <SharedDoc>false</SharedDoc>
  <HLinks>
    <vt:vector size="54" baseType="variant">
      <vt:variant>
        <vt:i4>1114131</vt:i4>
      </vt:variant>
      <vt:variant>
        <vt:i4>24</vt:i4>
      </vt:variant>
      <vt:variant>
        <vt:i4>0</vt:i4>
      </vt:variant>
      <vt:variant>
        <vt:i4>5</vt:i4>
      </vt:variant>
      <vt:variant>
        <vt:lpwstr>https://nhsproviders.org/</vt:lpwstr>
      </vt:variant>
      <vt:variant>
        <vt:lpwstr/>
      </vt:variant>
      <vt:variant>
        <vt:i4>3866680</vt:i4>
      </vt:variant>
      <vt:variant>
        <vt:i4>21</vt:i4>
      </vt:variant>
      <vt:variant>
        <vt:i4>0</vt:i4>
      </vt:variant>
      <vt:variant>
        <vt:i4>5</vt:i4>
      </vt:variant>
      <vt:variant>
        <vt:lpwstr>https://www.nhsconfed.org/</vt:lpwstr>
      </vt:variant>
      <vt:variant>
        <vt:lpwstr/>
      </vt:variant>
      <vt:variant>
        <vt:i4>5701730</vt:i4>
      </vt:variant>
      <vt:variant>
        <vt:i4>18</vt:i4>
      </vt:variant>
      <vt:variant>
        <vt:i4>0</vt:i4>
      </vt:variant>
      <vt:variant>
        <vt:i4>5</vt:i4>
      </vt:variant>
      <vt:variant>
        <vt:lpwstr>mailto:publicaffairs@nhsproviders.org</vt:lpwstr>
      </vt:variant>
      <vt:variant>
        <vt:lpwstr/>
      </vt:variant>
      <vt:variant>
        <vt:i4>8126553</vt:i4>
      </vt:variant>
      <vt:variant>
        <vt:i4>15</vt:i4>
      </vt:variant>
      <vt:variant>
        <vt:i4>0</vt:i4>
      </vt:variant>
      <vt:variant>
        <vt:i4>5</vt:i4>
      </vt:variant>
      <vt:variant>
        <vt:lpwstr>mailto:publicaffairs@nhsconfed.org</vt:lpwstr>
      </vt:variant>
      <vt:variant>
        <vt:lpwstr/>
      </vt:variant>
      <vt:variant>
        <vt:i4>1114131</vt:i4>
      </vt:variant>
      <vt:variant>
        <vt:i4>12</vt:i4>
      </vt:variant>
      <vt:variant>
        <vt:i4>0</vt:i4>
      </vt:variant>
      <vt:variant>
        <vt:i4>5</vt:i4>
      </vt:variant>
      <vt:variant>
        <vt:lpwstr>https://nhsproviders.org/</vt:lpwstr>
      </vt:variant>
      <vt:variant>
        <vt:lpwstr/>
      </vt:variant>
      <vt:variant>
        <vt:i4>3866680</vt:i4>
      </vt:variant>
      <vt:variant>
        <vt:i4>9</vt:i4>
      </vt:variant>
      <vt:variant>
        <vt:i4>0</vt:i4>
      </vt:variant>
      <vt:variant>
        <vt:i4>5</vt:i4>
      </vt:variant>
      <vt:variant>
        <vt:lpwstr>https://www.nhsconfed.org/</vt:lpwstr>
      </vt:variant>
      <vt:variant>
        <vt:lpwstr/>
      </vt:variant>
      <vt:variant>
        <vt:i4>5701730</vt:i4>
      </vt:variant>
      <vt:variant>
        <vt:i4>6</vt:i4>
      </vt:variant>
      <vt:variant>
        <vt:i4>0</vt:i4>
      </vt:variant>
      <vt:variant>
        <vt:i4>5</vt:i4>
      </vt:variant>
      <vt:variant>
        <vt:lpwstr>mailto:publicaffairs@nhsproviders.org</vt:lpwstr>
      </vt:variant>
      <vt:variant>
        <vt:lpwstr/>
      </vt:variant>
      <vt:variant>
        <vt:i4>8126553</vt:i4>
      </vt:variant>
      <vt:variant>
        <vt:i4>3</vt:i4>
      </vt:variant>
      <vt:variant>
        <vt:i4>0</vt:i4>
      </vt:variant>
      <vt:variant>
        <vt:i4>5</vt:i4>
      </vt:variant>
      <vt:variant>
        <vt:lpwstr>mailto:publicaffairs@nhsconfed.org</vt:lpwstr>
      </vt:variant>
      <vt:variant>
        <vt:lpwstr/>
      </vt:variant>
      <vt:variant>
        <vt:i4>7602299</vt:i4>
      </vt:variant>
      <vt:variant>
        <vt:i4>0</vt:i4>
      </vt:variant>
      <vt:variant>
        <vt:i4>0</vt:i4>
      </vt:variant>
      <vt:variant>
        <vt:i4>5</vt:i4>
      </vt:variant>
      <vt:variant>
        <vt:lpwstr>https://nhsproviders.org/resources/bold-action-tackling-inequalities-in-maternity-care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Clements</dc:creator>
  <cp:keywords/>
  <cp:lastModifiedBy>Graeme Dolphin</cp:lastModifiedBy>
  <cp:revision>22</cp:revision>
  <dcterms:created xsi:type="dcterms:W3CDTF">2026-02-25T14:33:00Z</dcterms:created>
  <dcterms:modified xsi:type="dcterms:W3CDTF">2026-02-25T15:35:00Z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MediaServiceImageTags">
    <vt:lpwstr/>
  </property>
  <property fmtid="{D5CDD505-2E9C-101B-9397-08002B2CF9AE}" pid="4" name="MSIP_Label_d6ffb948-953e-42ec-a310-bd443e7b6908_Enabled">
    <vt:lpwstr>true</vt:lpwstr>
  </property>
  <property fmtid="{D5CDD505-2E9C-101B-9397-08002B2CF9AE}" pid="5" name="MSIP_Label_d6ffb948-953e-42ec-a310-bd443e7b6908_SetDate">
    <vt:lpwstr>2026-02-18T17:06:32Z</vt:lpwstr>
  </property>
  <property fmtid="{D5CDD505-2E9C-101B-9397-08002B2CF9AE}" pid="6" name="MSIP_Label_d6ffb948-953e-42ec-a310-bd443e7b6908_Method">
    <vt:lpwstr>Standard</vt:lpwstr>
  </property>
  <property fmtid="{D5CDD505-2E9C-101B-9397-08002B2CF9AE}" pid="7" name="MSIP_Label_d6ffb948-953e-42ec-a310-bd443e7b6908_Name">
    <vt:lpwstr>Commercial in Confidence</vt:lpwstr>
  </property>
  <property fmtid="{D5CDD505-2E9C-101B-9397-08002B2CF9AE}" pid="8" name="MSIP_Label_d6ffb948-953e-42ec-a310-bd443e7b6908_SiteId">
    <vt:lpwstr>b85e4127-ddf3-45f9-bf62-f1ea78c25bf7</vt:lpwstr>
  </property>
  <property fmtid="{D5CDD505-2E9C-101B-9397-08002B2CF9AE}" pid="9" name="MSIP_Label_d6ffb948-953e-42ec-a310-bd443e7b6908_ActionId">
    <vt:lpwstr>e3f5c2c8-796e-4d87-86e5-f4313da95bc8</vt:lpwstr>
  </property>
  <property fmtid="{D5CDD505-2E9C-101B-9397-08002B2CF9AE}" pid="10" name="MSIP_Label_d6ffb948-953e-42ec-a310-bd443e7b6908_ContentBits">
    <vt:lpwstr>0</vt:lpwstr>
  </property>
  <property fmtid="{D5CDD505-2E9C-101B-9397-08002B2CF9AE}" pid="11" name="MSIP_Label_d6ffb948-953e-42ec-a310-bd443e7b6908_Tag">
    <vt:lpwstr>10, 3, 0, 1</vt:lpwstr>
  </property>
</Properties>
</file>