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AA82" w14:textId="50288DBE" w:rsidR="007058F7" w:rsidRPr="00884C57" w:rsidRDefault="000262A7" w:rsidP="000262A7">
      <w:pPr>
        <w:jc w:val="center"/>
        <w:rPr>
          <w:rFonts w:ascii="Arial" w:hAnsi="Arial" w:cs="Arial"/>
          <w:b/>
          <w:bCs/>
        </w:rPr>
      </w:pPr>
      <w:r w:rsidRPr="00884C57">
        <w:rPr>
          <w:rFonts w:ascii="Arial" w:hAnsi="Arial" w:cs="Arial"/>
          <w:b/>
          <w:bCs/>
        </w:rPr>
        <w:t>Term Time Only</w:t>
      </w:r>
      <w:r w:rsidR="002F5CF5">
        <w:rPr>
          <w:rFonts w:ascii="Arial" w:hAnsi="Arial" w:cs="Arial"/>
          <w:b/>
          <w:bCs/>
        </w:rPr>
        <w:t xml:space="preserve"> </w:t>
      </w:r>
      <w:r w:rsidR="00E84CBB">
        <w:rPr>
          <w:rFonts w:ascii="Arial" w:hAnsi="Arial" w:cs="Arial"/>
          <w:b/>
          <w:bCs/>
        </w:rPr>
        <w:t xml:space="preserve">and Part Time </w:t>
      </w:r>
      <w:r w:rsidR="002F5CF5">
        <w:rPr>
          <w:rFonts w:ascii="Arial" w:hAnsi="Arial" w:cs="Arial"/>
          <w:b/>
          <w:bCs/>
        </w:rPr>
        <w:t>Working</w:t>
      </w:r>
      <w:r w:rsidRPr="00884C57">
        <w:rPr>
          <w:rFonts w:ascii="Arial" w:hAnsi="Arial" w:cs="Arial"/>
          <w:b/>
          <w:bCs/>
        </w:rPr>
        <w:t xml:space="preserve"> </w:t>
      </w:r>
      <w:r w:rsidR="000E1939" w:rsidRPr="00884C57">
        <w:rPr>
          <w:rFonts w:ascii="Arial" w:hAnsi="Arial" w:cs="Arial"/>
          <w:b/>
          <w:bCs/>
        </w:rPr>
        <w:t>Comparison</w:t>
      </w:r>
    </w:p>
    <w:p w14:paraId="7CBC2C9E" w14:textId="7AC969F6" w:rsidR="000E1939" w:rsidRDefault="000E1939" w:rsidP="000262A7">
      <w:pPr>
        <w:jc w:val="center"/>
        <w:rPr>
          <w:rFonts w:ascii="Arial" w:hAnsi="Arial" w:cs="Arial"/>
          <w:b/>
          <w:bCs/>
        </w:rPr>
      </w:pPr>
      <w:r w:rsidRPr="00884C57">
        <w:rPr>
          <w:rFonts w:ascii="Arial" w:hAnsi="Arial" w:cs="Arial"/>
          <w:b/>
          <w:bCs/>
        </w:rPr>
        <w:t xml:space="preserve">Existing Position within NHS Wales and New Staff Council Guidance </w:t>
      </w:r>
    </w:p>
    <w:p w14:paraId="1BF2EDBE" w14:textId="51D7AE95" w:rsidR="000E3D51" w:rsidRPr="00884C57" w:rsidRDefault="000E3D51" w:rsidP="000262A7">
      <w:pPr>
        <w:jc w:val="center"/>
        <w:rPr>
          <w:rFonts w:ascii="Arial" w:hAnsi="Arial" w:cs="Arial"/>
          <w:b/>
          <w:bCs/>
        </w:rPr>
      </w:pPr>
      <w:r>
        <w:rPr>
          <w:rFonts w:ascii="Arial" w:hAnsi="Arial" w:cs="Arial"/>
          <w:b/>
          <w:bCs/>
        </w:rPr>
        <w:t>Supplementary Guidance for NHS Wales</w:t>
      </w:r>
    </w:p>
    <w:p w14:paraId="5CA3CF78" w14:textId="08BCABDD" w:rsidR="000262A7" w:rsidRPr="00884C57" w:rsidRDefault="000262A7" w:rsidP="000262A7">
      <w:pPr>
        <w:rPr>
          <w:rFonts w:ascii="Arial" w:hAnsi="Arial" w:cs="Arial"/>
        </w:rPr>
      </w:pPr>
    </w:p>
    <w:p w14:paraId="5B9E5CF3" w14:textId="60C55BF4" w:rsidR="0022641A" w:rsidRPr="00884C57" w:rsidRDefault="0022641A" w:rsidP="000262A7">
      <w:pPr>
        <w:rPr>
          <w:rFonts w:ascii="Arial" w:hAnsi="Arial" w:cs="Arial"/>
          <w:u w:val="single"/>
        </w:rPr>
      </w:pPr>
      <w:r w:rsidRPr="00884C57">
        <w:rPr>
          <w:rFonts w:ascii="Arial" w:hAnsi="Arial" w:cs="Arial"/>
          <w:u w:val="single"/>
        </w:rPr>
        <w:t>Background</w:t>
      </w:r>
    </w:p>
    <w:p w14:paraId="25F9B437" w14:textId="77777777" w:rsidR="00733947" w:rsidRPr="00884C57" w:rsidRDefault="00733947" w:rsidP="000262A7">
      <w:pPr>
        <w:rPr>
          <w:rFonts w:ascii="Arial" w:hAnsi="Arial" w:cs="Arial"/>
        </w:rPr>
      </w:pPr>
      <w:r w:rsidRPr="00884C57">
        <w:rPr>
          <w:rFonts w:ascii="Arial" w:hAnsi="Arial" w:cs="Arial"/>
        </w:rPr>
        <w:t xml:space="preserve">Following the implementation of Section 33 of the NHS TCS Handbook, the NHS Staff Council agreed to draft additional guidance specifically relating to the contractual issues arising from different types of flexible working with particular focus on term time only working. </w:t>
      </w:r>
    </w:p>
    <w:p w14:paraId="78121F24" w14:textId="7CA2B4F2" w:rsidR="0022641A" w:rsidRPr="00884C57" w:rsidRDefault="00733947" w:rsidP="000262A7">
      <w:pPr>
        <w:rPr>
          <w:rFonts w:ascii="Arial" w:hAnsi="Arial" w:cs="Arial"/>
        </w:rPr>
      </w:pPr>
      <w:r w:rsidRPr="00884C57">
        <w:rPr>
          <w:rFonts w:ascii="Arial" w:hAnsi="Arial" w:cs="Arial"/>
        </w:rPr>
        <w:t xml:space="preserve">In addition, in July 2022 the Supreme Court ruled on the Brazel vs </w:t>
      </w:r>
      <w:proofErr w:type="spellStart"/>
      <w:r w:rsidRPr="00884C57">
        <w:rPr>
          <w:rFonts w:ascii="Arial" w:hAnsi="Arial" w:cs="Arial"/>
        </w:rPr>
        <w:t>Harpur</w:t>
      </w:r>
      <w:proofErr w:type="spellEnd"/>
      <w:r w:rsidRPr="00884C57">
        <w:rPr>
          <w:rFonts w:ascii="Arial" w:hAnsi="Arial" w:cs="Arial"/>
        </w:rPr>
        <w:t xml:space="preserve"> case and the guidance has been updated in relation to this decision.</w:t>
      </w:r>
    </w:p>
    <w:p w14:paraId="0FDF3834" w14:textId="30319DE5" w:rsidR="00884C57" w:rsidRPr="00884C57" w:rsidRDefault="00884C57" w:rsidP="000262A7">
      <w:pPr>
        <w:rPr>
          <w:rFonts w:ascii="Arial" w:hAnsi="Arial" w:cs="Arial"/>
          <w:u w:val="single"/>
        </w:rPr>
      </w:pPr>
      <w:r w:rsidRPr="00884C57">
        <w:rPr>
          <w:rFonts w:ascii="Arial" w:hAnsi="Arial" w:cs="Arial"/>
        </w:rPr>
        <w:t>This paper identifies and issues arising out of the above for NHS Wales specifically.</w:t>
      </w:r>
    </w:p>
    <w:p w14:paraId="49655FAA" w14:textId="77777777" w:rsidR="0022641A" w:rsidRPr="00884C57" w:rsidRDefault="0022641A" w:rsidP="000262A7">
      <w:pPr>
        <w:rPr>
          <w:rFonts w:ascii="Arial" w:hAnsi="Arial" w:cs="Arial"/>
          <w:u w:val="single"/>
        </w:rPr>
      </w:pPr>
    </w:p>
    <w:p w14:paraId="4919E632" w14:textId="379F7268" w:rsidR="004F11B9" w:rsidRDefault="004F11B9" w:rsidP="000262A7">
      <w:pPr>
        <w:rPr>
          <w:rFonts w:ascii="Arial" w:hAnsi="Arial" w:cs="Arial"/>
          <w:u w:val="single"/>
        </w:rPr>
      </w:pPr>
      <w:r w:rsidRPr="00884C57">
        <w:rPr>
          <w:rFonts w:ascii="Arial" w:hAnsi="Arial" w:cs="Arial"/>
          <w:u w:val="single"/>
        </w:rPr>
        <w:t xml:space="preserve">Individuals Working </w:t>
      </w:r>
      <w:r w:rsidR="00032E39" w:rsidRPr="00884C57">
        <w:rPr>
          <w:rFonts w:ascii="Arial" w:hAnsi="Arial" w:cs="Arial"/>
          <w:u w:val="single"/>
        </w:rPr>
        <w:t>Full Time (37.5 hours per week) for 39 weeks</w:t>
      </w:r>
      <w:r w:rsidR="009F4E35" w:rsidRPr="00884C57">
        <w:rPr>
          <w:rFonts w:ascii="Arial" w:hAnsi="Arial" w:cs="Arial"/>
          <w:u w:val="single"/>
        </w:rPr>
        <w:t xml:space="preserve"> per annum</w:t>
      </w:r>
    </w:p>
    <w:p w14:paraId="7AF4C0D1" w14:textId="77777777" w:rsidR="00884C57" w:rsidRPr="00884C57" w:rsidRDefault="00884C57" w:rsidP="000262A7">
      <w:pPr>
        <w:rPr>
          <w:rFonts w:ascii="Arial" w:hAnsi="Arial" w:cs="Arial"/>
          <w:u w:val="single"/>
        </w:rPr>
      </w:pPr>
    </w:p>
    <w:tbl>
      <w:tblPr>
        <w:tblStyle w:val="TableGrid"/>
        <w:tblW w:w="0" w:type="auto"/>
        <w:tblLook w:val="04A0" w:firstRow="1" w:lastRow="0" w:firstColumn="1" w:lastColumn="0" w:noHBand="0" w:noVBand="1"/>
      </w:tblPr>
      <w:tblGrid>
        <w:gridCol w:w="2254"/>
        <w:gridCol w:w="2254"/>
        <w:gridCol w:w="2254"/>
        <w:gridCol w:w="2254"/>
      </w:tblGrid>
      <w:tr w:rsidR="000262A7" w:rsidRPr="00884C57" w14:paraId="372A35F3" w14:textId="77777777" w:rsidTr="00823FAA">
        <w:tc>
          <w:tcPr>
            <w:tcW w:w="2254" w:type="dxa"/>
          </w:tcPr>
          <w:p w14:paraId="7DC82285" w14:textId="77777777" w:rsidR="000262A7" w:rsidRPr="00884C57" w:rsidRDefault="000262A7" w:rsidP="00823FAA">
            <w:pPr>
              <w:rPr>
                <w:rFonts w:ascii="Arial" w:hAnsi="Arial" w:cs="Arial"/>
              </w:rPr>
            </w:pPr>
          </w:p>
        </w:tc>
        <w:tc>
          <w:tcPr>
            <w:tcW w:w="2254" w:type="dxa"/>
          </w:tcPr>
          <w:p w14:paraId="01E13F3B" w14:textId="3BAE8A23" w:rsidR="000262A7" w:rsidRPr="00884C57" w:rsidRDefault="008560E0" w:rsidP="00AD1965">
            <w:pPr>
              <w:jc w:val="center"/>
              <w:rPr>
                <w:rFonts w:ascii="Arial" w:hAnsi="Arial" w:cs="Arial"/>
              </w:rPr>
            </w:pPr>
            <w:r w:rsidRPr="00884C57">
              <w:rPr>
                <w:rFonts w:ascii="Arial" w:hAnsi="Arial" w:cs="Arial"/>
              </w:rPr>
              <w:t>Current Wales Position</w:t>
            </w:r>
            <w:r w:rsidR="00275B6E" w:rsidRPr="00884C57">
              <w:rPr>
                <w:rFonts w:ascii="Arial" w:hAnsi="Arial" w:cs="Arial"/>
              </w:rPr>
              <w:t xml:space="preserve"> (extra day)</w:t>
            </w:r>
            <w:r w:rsidR="00917248" w:rsidRPr="00884C57">
              <w:rPr>
                <w:rFonts w:ascii="Arial" w:hAnsi="Arial" w:cs="Arial"/>
              </w:rPr>
              <w:t xml:space="preserve"> – Pro Rata Pay % (39 weeks)</w:t>
            </w:r>
          </w:p>
        </w:tc>
        <w:tc>
          <w:tcPr>
            <w:tcW w:w="2254" w:type="dxa"/>
          </w:tcPr>
          <w:p w14:paraId="3943781A" w14:textId="4E5D25BB" w:rsidR="000262A7" w:rsidRPr="00884C57" w:rsidRDefault="00DB7949" w:rsidP="00AD1965">
            <w:pPr>
              <w:jc w:val="center"/>
              <w:rPr>
                <w:rFonts w:ascii="Arial" w:hAnsi="Arial" w:cs="Arial"/>
              </w:rPr>
            </w:pPr>
            <w:r w:rsidRPr="00884C57">
              <w:rPr>
                <w:rFonts w:ascii="Arial" w:hAnsi="Arial" w:cs="Arial"/>
              </w:rPr>
              <w:t>Staff Council Guidance Position</w:t>
            </w:r>
            <w:r w:rsidR="00B019EC" w:rsidRPr="00884C57">
              <w:rPr>
                <w:rFonts w:ascii="Arial" w:hAnsi="Arial" w:cs="Arial"/>
              </w:rPr>
              <w:t xml:space="preserve"> – Pro </w:t>
            </w:r>
            <w:r w:rsidR="003E7BDD" w:rsidRPr="00884C57">
              <w:rPr>
                <w:rFonts w:ascii="Arial" w:hAnsi="Arial" w:cs="Arial"/>
              </w:rPr>
              <w:t>Rata</w:t>
            </w:r>
            <w:r w:rsidR="00662FBF" w:rsidRPr="00884C57">
              <w:rPr>
                <w:rFonts w:ascii="Arial" w:hAnsi="Arial" w:cs="Arial"/>
              </w:rPr>
              <w:t xml:space="preserve"> Pay % </w:t>
            </w:r>
            <w:r w:rsidR="002E6CA1" w:rsidRPr="00884C57">
              <w:rPr>
                <w:rFonts w:ascii="Arial" w:hAnsi="Arial" w:cs="Arial"/>
              </w:rPr>
              <w:t>(39 weeks)</w:t>
            </w:r>
          </w:p>
        </w:tc>
        <w:tc>
          <w:tcPr>
            <w:tcW w:w="2254" w:type="dxa"/>
          </w:tcPr>
          <w:p w14:paraId="6C6343BA" w14:textId="44356EAD" w:rsidR="000262A7" w:rsidRPr="00884C57" w:rsidRDefault="00DB7949" w:rsidP="00AD1965">
            <w:pPr>
              <w:jc w:val="center"/>
              <w:rPr>
                <w:rFonts w:ascii="Arial" w:hAnsi="Arial" w:cs="Arial"/>
              </w:rPr>
            </w:pPr>
            <w:r w:rsidRPr="00884C57">
              <w:rPr>
                <w:rFonts w:ascii="Arial" w:hAnsi="Arial" w:cs="Arial"/>
              </w:rPr>
              <w:t>Previous Wales Position for Comparison</w:t>
            </w:r>
            <w:r w:rsidR="0010092C" w:rsidRPr="00884C57">
              <w:rPr>
                <w:rFonts w:ascii="Arial" w:hAnsi="Arial" w:cs="Arial"/>
              </w:rPr>
              <w:t xml:space="preserve"> (without extra day)</w:t>
            </w:r>
            <w:r w:rsidR="002E6CA1" w:rsidRPr="00884C57">
              <w:rPr>
                <w:rFonts w:ascii="Arial" w:hAnsi="Arial" w:cs="Arial"/>
              </w:rPr>
              <w:t xml:space="preserve"> – Pro Rata Pay % (39 weeks)</w:t>
            </w:r>
          </w:p>
        </w:tc>
      </w:tr>
      <w:tr w:rsidR="000262A7" w:rsidRPr="00884C57" w14:paraId="53D93256" w14:textId="77777777" w:rsidTr="00823FAA">
        <w:tc>
          <w:tcPr>
            <w:tcW w:w="2254" w:type="dxa"/>
          </w:tcPr>
          <w:p w14:paraId="69647D06" w14:textId="68AE4444" w:rsidR="000262A7" w:rsidRPr="00884C57" w:rsidRDefault="008560E0" w:rsidP="00823FAA">
            <w:pPr>
              <w:rPr>
                <w:rFonts w:ascii="Arial" w:hAnsi="Arial" w:cs="Arial"/>
              </w:rPr>
            </w:pPr>
            <w:r w:rsidRPr="00884C57">
              <w:rPr>
                <w:rFonts w:ascii="Arial" w:hAnsi="Arial" w:cs="Arial"/>
              </w:rPr>
              <w:t xml:space="preserve">0-5 </w:t>
            </w:r>
            <w:r w:rsidR="00665B40" w:rsidRPr="00884C57">
              <w:rPr>
                <w:rFonts w:ascii="Arial" w:hAnsi="Arial" w:cs="Arial"/>
              </w:rPr>
              <w:t>Years’ Service</w:t>
            </w:r>
          </w:p>
        </w:tc>
        <w:tc>
          <w:tcPr>
            <w:tcW w:w="2254" w:type="dxa"/>
          </w:tcPr>
          <w:p w14:paraId="4F1D2F89" w14:textId="0129A9BF" w:rsidR="000262A7" w:rsidRPr="00884C57" w:rsidRDefault="00275B6E" w:rsidP="00AD1965">
            <w:pPr>
              <w:jc w:val="center"/>
              <w:rPr>
                <w:rFonts w:ascii="Arial" w:hAnsi="Arial" w:cs="Arial"/>
              </w:rPr>
            </w:pPr>
            <w:r w:rsidRPr="00884C57">
              <w:rPr>
                <w:rFonts w:ascii="Arial" w:hAnsi="Arial" w:cs="Arial"/>
              </w:rPr>
              <w:t>86.77</w:t>
            </w:r>
          </w:p>
        </w:tc>
        <w:tc>
          <w:tcPr>
            <w:tcW w:w="2254" w:type="dxa"/>
          </w:tcPr>
          <w:p w14:paraId="2DB58B3D" w14:textId="592D62CE" w:rsidR="000262A7" w:rsidRPr="00884C57" w:rsidRDefault="003B70CF" w:rsidP="00AD1965">
            <w:pPr>
              <w:jc w:val="center"/>
              <w:rPr>
                <w:rFonts w:ascii="Arial" w:hAnsi="Arial" w:cs="Arial"/>
              </w:rPr>
            </w:pPr>
            <w:r w:rsidRPr="00884C57">
              <w:rPr>
                <w:rFonts w:ascii="Arial" w:hAnsi="Arial" w:cs="Arial"/>
              </w:rPr>
              <w:t>86.39</w:t>
            </w:r>
          </w:p>
        </w:tc>
        <w:tc>
          <w:tcPr>
            <w:tcW w:w="2254" w:type="dxa"/>
          </w:tcPr>
          <w:p w14:paraId="28AB6F4A" w14:textId="135F6B95" w:rsidR="000262A7" w:rsidRPr="00884C57" w:rsidRDefault="00400E37" w:rsidP="00AD1965">
            <w:pPr>
              <w:jc w:val="center"/>
              <w:rPr>
                <w:rFonts w:ascii="Arial" w:hAnsi="Arial" w:cs="Arial"/>
              </w:rPr>
            </w:pPr>
            <w:r w:rsidRPr="00884C57">
              <w:rPr>
                <w:rFonts w:ascii="Arial" w:hAnsi="Arial" w:cs="Arial"/>
              </w:rPr>
              <w:t>86.39</w:t>
            </w:r>
          </w:p>
        </w:tc>
      </w:tr>
      <w:tr w:rsidR="000262A7" w:rsidRPr="00884C57" w14:paraId="6F4CE0FA" w14:textId="77777777" w:rsidTr="00823FAA">
        <w:tc>
          <w:tcPr>
            <w:tcW w:w="2254" w:type="dxa"/>
          </w:tcPr>
          <w:p w14:paraId="4E6CFFE2" w14:textId="6DD30BBE" w:rsidR="000262A7" w:rsidRPr="00884C57" w:rsidRDefault="008560E0" w:rsidP="00823FAA">
            <w:pPr>
              <w:rPr>
                <w:rFonts w:ascii="Arial" w:hAnsi="Arial" w:cs="Arial"/>
              </w:rPr>
            </w:pPr>
            <w:r w:rsidRPr="00884C57">
              <w:rPr>
                <w:rFonts w:ascii="Arial" w:hAnsi="Arial" w:cs="Arial"/>
              </w:rPr>
              <w:t xml:space="preserve">5-10 </w:t>
            </w:r>
            <w:r w:rsidR="00665B40" w:rsidRPr="00884C57">
              <w:rPr>
                <w:rFonts w:ascii="Arial" w:hAnsi="Arial" w:cs="Arial"/>
              </w:rPr>
              <w:t>Years’ Service</w:t>
            </w:r>
          </w:p>
        </w:tc>
        <w:tc>
          <w:tcPr>
            <w:tcW w:w="2254" w:type="dxa"/>
          </w:tcPr>
          <w:p w14:paraId="46A1577E" w14:textId="2DDF5612" w:rsidR="000262A7" w:rsidRPr="00884C57" w:rsidRDefault="00275B6E" w:rsidP="00AD1965">
            <w:pPr>
              <w:jc w:val="center"/>
              <w:rPr>
                <w:rFonts w:ascii="Arial" w:hAnsi="Arial" w:cs="Arial"/>
              </w:rPr>
            </w:pPr>
            <w:r w:rsidRPr="00884C57">
              <w:rPr>
                <w:rFonts w:ascii="Arial" w:hAnsi="Arial" w:cs="Arial"/>
              </w:rPr>
              <w:t>87.54</w:t>
            </w:r>
          </w:p>
        </w:tc>
        <w:tc>
          <w:tcPr>
            <w:tcW w:w="2254" w:type="dxa"/>
          </w:tcPr>
          <w:p w14:paraId="36A6672C" w14:textId="0BF88CB5" w:rsidR="000262A7" w:rsidRPr="00884C57" w:rsidRDefault="003B70CF" w:rsidP="00AD1965">
            <w:pPr>
              <w:jc w:val="center"/>
              <w:rPr>
                <w:rFonts w:ascii="Arial" w:hAnsi="Arial" w:cs="Arial"/>
              </w:rPr>
            </w:pPr>
            <w:r w:rsidRPr="00884C57">
              <w:rPr>
                <w:rFonts w:ascii="Arial" w:hAnsi="Arial" w:cs="Arial"/>
              </w:rPr>
              <w:t>87.16</w:t>
            </w:r>
          </w:p>
        </w:tc>
        <w:tc>
          <w:tcPr>
            <w:tcW w:w="2254" w:type="dxa"/>
          </w:tcPr>
          <w:p w14:paraId="28D0DA21" w14:textId="74FA39D8" w:rsidR="000262A7" w:rsidRPr="00884C57" w:rsidRDefault="00400E37" w:rsidP="00AD1965">
            <w:pPr>
              <w:jc w:val="center"/>
              <w:rPr>
                <w:rFonts w:ascii="Arial" w:hAnsi="Arial" w:cs="Arial"/>
              </w:rPr>
            </w:pPr>
            <w:r w:rsidRPr="00884C57">
              <w:rPr>
                <w:rFonts w:ascii="Arial" w:hAnsi="Arial" w:cs="Arial"/>
              </w:rPr>
              <w:t>87.16</w:t>
            </w:r>
          </w:p>
        </w:tc>
      </w:tr>
      <w:tr w:rsidR="000262A7" w:rsidRPr="00884C57" w14:paraId="5BEABD62" w14:textId="77777777" w:rsidTr="00823FAA">
        <w:tc>
          <w:tcPr>
            <w:tcW w:w="2254" w:type="dxa"/>
          </w:tcPr>
          <w:p w14:paraId="735FD17A" w14:textId="3A696E20" w:rsidR="000262A7" w:rsidRPr="00884C57" w:rsidRDefault="008560E0" w:rsidP="00823FAA">
            <w:pPr>
              <w:rPr>
                <w:rFonts w:ascii="Arial" w:hAnsi="Arial" w:cs="Arial"/>
              </w:rPr>
            </w:pPr>
            <w:r w:rsidRPr="00884C57">
              <w:rPr>
                <w:rFonts w:ascii="Arial" w:hAnsi="Arial" w:cs="Arial"/>
              </w:rPr>
              <w:t xml:space="preserve">10+ </w:t>
            </w:r>
            <w:r w:rsidR="00665B40" w:rsidRPr="00884C57">
              <w:rPr>
                <w:rFonts w:ascii="Arial" w:hAnsi="Arial" w:cs="Arial"/>
              </w:rPr>
              <w:t>Years’ Service</w:t>
            </w:r>
          </w:p>
        </w:tc>
        <w:tc>
          <w:tcPr>
            <w:tcW w:w="2254" w:type="dxa"/>
          </w:tcPr>
          <w:p w14:paraId="3DF41C7F" w14:textId="021553DB" w:rsidR="000262A7" w:rsidRPr="00884C57" w:rsidRDefault="003B70CF" w:rsidP="00AD1965">
            <w:pPr>
              <w:jc w:val="center"/>
              <w:rPr>
                <w:rFonts w:ascii="Arial" w:hAnsi="Arial" w:cs="Arial"/>
              </w:rPr>
            </w:pPr>
            <w:r w:rsidRPr="00884C57">
              <w:rPr>
                <w:rFonts w:ascii="Arial" w:hAnsi="Arial" w:cs="Arial"/>
              </w:rPr>
              <w:t>89.1</w:t>
            </w:r>
            <w:r w:rsidR="009C026D">
              <w:rPr>
                <w:rFonts w:ascii="Arial" w:hAnsi="Arial" w:cs="Arial"/>
              </w:rPr>
              <w:t>4</w:t>
            </w:r>
          </w:p>
        </w:tc>
        <w:tc>
          <w:tcPr>
            <w:tcW w:w="2254" w:type="dxa"/>
          </w:tcPr>
          <w:p w14:paraId="58F6129F" w14:textId="6B3A85B1" w:rsidR="000262A7" w:rsidRPr="00884C57" w:rsidRDefault="003B70CF" w:rsidP="00AD1965">
            <w:pPr>
              <w:jc w:val="center"/>
              <w:rPr>
                <w:rFonts w:ascii="Arial" w:hAnsi="Arial" w:cs="Arial"/>
              </w:rPr>
            </w:pPr>
            <w:r w:rsidRPr="00884C57">
              <w:rPr>
                <w:rFonts w:ascii="Arial" w:hAnsi="Arial" w:cs="Arial"/>
              </w:rPr>
              <w:t>88.75</w:t>
            </w:r>
          </w:p>
        </w:tc>
        <w:tc>
          <w:tcPr>
            <w:tcW w:w="2254" w:type="dxa"/>
          </w:tcPr>
          <w:p w14:paraId="73353979" w14:textId="5157FB67" w:rsidR="000262A7" w:rsidRPr="00884C57" w:rsidRDefault="00400E37" w:rsidP="00AD1965">
            <w:pPr>
              <w:jc w:val="center"/>
              <w:rPr>
                <w:rFonts w:ascii="Arial" w:hAnsi="Arial" w:cs="Arial"/>
              </w:rPr>
            </w:pPr>
            <w:r w:rsidRPr="00884C57">
              <w:rPr>
                <w:rFonts w:ascii="Arial" w:hAnsi="Arial" w:cs="Arial"/>
              </w:rPr>
              <w:t>88.75</w:t>
            </w:r>
          </w:p>
        </w:tc>
      </w:tr>
    </w:tbl>
    <w:p w14:paraId="57703E21" w14:textId="7D9EB940" w:rsidR="000262A7" w:rsidRPr="00884C57" w:rsidRDefault="000262A7" w:rsidP="000262A7">
      <w:pPr>
        <w:rPr>
          <w:rFonts w:ascii="Arial" w:hAnsi="Arial" w:cs="Arial"/>
        </w:rPr>
      </w:pPr>
    </w:p>
    <w:p w14:paraId="4D35C1AA" w14:textId="0BB6B7F5" w:rsidR="00992EE7" w:rsidRPr="00884C57" w:rsidRDefault="00992EE7" w:rsidP="000262A7">
      <w:pPr>
        <w:rPr>
          <w:rFonts w:ascii="Arial" w:hAnsi="Arial" w:cs="Arial"/>
        </w:rPr>
      </w:pPr>
      <w:r w:rsidRPr="00884C57">
        <w:rPr>
          <w:rFonts w:ascii="Arial" w:hAnsi="Arial" w:cs="Arial"/>
          <w:b/>
          <w:bCs/>
          <w:i/>
          <w:iCs/>
        </w:rPr>
        <w:t>No action required for NHS Wales</w:t>
      </w:r>
      <w:r w:rsidRPr="00884C57">
        <w:rPr>
          <w:rFonts w:ascii="Arial" w:hAnsi="Arial" w:cs="Arial"/>
        </w:rPr>
        <w:t>.</w:t>
      </w:r>
    </w:p>
    <w:p w14:paraId="7BBBE507" w14:textId="724E3221" w:rsidR="00992EE7" w:rsidRPr="00884C57" w:rsidRDefault="00992EE7" w:rsidP="000262A7">
      <w:pPr>
        <w:rPr>
          <w:rFonts w:ascii="Arial" w:hAnsi="Arial" w:cs="Arial"/>
        </w:rPr>
      </w:pPr>
    </w:p>
    <w:p w14:paraId="2BD1BEE7" w14:textId="647171FA" w:rsidR="004F4956" w:rsidRPr="00884C57" w:rsidRDefault="004F4956" w:rsidP="004F4956">
      <w:pPr>
        <w:rPr>
          <w:rFonts w:ascii="Arial" w:hAnsi="Arial" w:cs="Arial"/>
          <w:u w:val="single"/>
        </w:rPr>
      </w:pPr>
      <w:r w:rsidRPr="00884C57">
        <w:rPr>
          <w:rFonts w:ascii="Arial" w:hAnsi="Arial" w:cs="Arial"/>
          <w:u w:val="single"/>
        </w:rPr>
        <w:t>Individuals Working Full Time (37.5 hours per week) for less than 39 weeks</w:t>
      </w:r>
      <w:r w:rsidR="009F4E35" w:rsidRPr="00884C57">
        <w:rPr>
          <w:rFonts w:ascii="Arial" w:hAnsi="Arial" w:cs="Arial"/>
          <w:u w:val="single"/>
        </w:rPr>
        <w:t xml:space="preserve"> per annum</w:t>
      </w:r>
    </w:p>
    <w:p w14:paraId="72F52F86" w14:textId="3BC7BACC" w:rsidR="0065118D" w:rsidRPr="00884C57" w:rsidRDefault="00785D7D" w:rsidP="000262A7">
      <w:pPr>
        <w:rPr>
          <w:rFonts w:ascii="Arial" w:hAnsi="Arial" w:cs="Arial"/>
        </w:rPr>
      </w:pPr>
      <w:r w:rsidRPr="00884C57">
        <w:rPr>
          <w:rFonts w:ascii="Arial" w:hAnsi="Arial" w:cs="Arial"/>
        </w:rPr>
        <w:t xml:space="preserve">The Supreme Court’s July 2022 decision in the ‘Brazel’ case (which upheld the Court of Appeal’s 2019 decision) means that where the calculation of a </w:t>
      </w:r>
      <w:r w:rsidR="009914B0">
        <w:rPr>
          <w:rFonts w:ascii="Arial" w:hAnsi="Arial" w:cs="Arial"/>
        </w:rPr>
        <w:t>Term Time Only (</w:t>
      </w:r>
      <w:r w:rsidRPr="00884C57">
        <w:rPr>
          <w:rFonts w:ascii="Arial" w:hAnsi="Arial" w:cs="Arial"/>
        </w:rPr>
        <w:t>TTO</w:t>
      </w:r>
      <w:r w:rsidR="009914B0">
        <w:rPr>
          <w:rFonts w:ascii="Arial" w:hAnsi="Arial" w:cs="Arial"/>
        </w:rPr>
        <w:t>)</w:t>
      </w:r>
      <w:r w:rsidRPr="00884C57">
        <w:rPr>
          <w:rFonts w:ascii="Arial" w:hAnsi="Arial" w:cs="Arial"/>
        </w:rPr>
        <w:t xml:space="preserve"> employee’s annual leave entitlement results in an entitlement of less than 5.6 of their weeks, the Working Time Regulations require the annual leave entitlement to be increased to 5.6 weeks. </w:t>
      </w:r>
    </w:p>
    <w:p w14:paraId="24FF91B3" w14:textId="12E92292" w:rsidR="005C0320" w:rsidRPr="005C0320" w:rsidRDefault="005C0320" w:rsidP="009235BE">
      <w:pPr>
        <w:rPr>
          <w:rFonts w:ascii="Arial" w:hAnsi="Arial" w:cs="Arial"/>
          <w:u w:val="single"/>
        </w:rPr>
      </w:pPr>
      <w:r w:rsidRPr="005C0320">
        <w:rPr>
          <w:rFonts w:ascii="Arial" w:hAnsi="Arial" w:cs="Arial"/>
          <w:u w:val="single"/>
        </w:rPr>
        <w:t>Formula</w:t>
      </w:r>
    </w:p>
    <w:p w14:paraId="33F09609" w14:textId="7D89A804" w:rsidR="009235BE" w:rsidRDefault="009235BE" w:rsidP="009235BE">
      <w:pPr>
        <w:rPr>
          <w:rFonts w:ascii="Arial" w:hAnsi="Arial" w:cs="Arial"/>
        </w:rPr>
      </w:pPr>
      <w:r w:rsidRPr="00884C57">
        <w:rPr>
          <w:rFonts w:ascii="Arial" w:hAnsi="Arial" w:cs="Arial"/>
        </w:rPr>
        <w:t>Holiday (</w:t>
      </w:r>
      <w:proofErr w:type="spellStart"/>
      <w:r w:rsidRPr="00884C57">
        <w:rPr>
          <w:rFonts w:ascii="Arial" w:hAnsi="Arial" w:cs="Arial"/>
        </w:rPr>
        <w:t>incl</w:t>
      </w:r>
      <w:proofErr w:type="spellEnd"/>
      <w:r w:rsidRPr="00884C57">
        <w:rPr>
          <w:rFonts w:ascii="Arial" w:hAnsi="Arial" w:cs="Arial"/>
        </w:rPr>
        <w:t xml:space="preserve"> PHs)/FTE Working Days</w:t>
      </w:r>
      <w:r>
        <w:rPr>
          <w:rFonts w:ascii="Arial" w:hAnsi="Arial" w:cs="Arial"/>
        </w:rPr>
        <w:t xml:space="preserve"> = Daily Holiday Accrual Rate</w:t>
      </w:r>
      <w:r w:rsidRPr="00884C57">
        <w:rPr>
          <w:rFonts w:ascii="Arial" w:hAnsi="Arial" w:cs="Arial"/>
        </w:rPr>
        <w:t>*Working Days</w:t>
      </w:r>
      <w:r>
        <w:rPr>
          <w:rFonts w:ascii="Arial" w:hAnsi="Arial" w:cs="Arial"/>
        </w:rPr>
        <w:t>.</w:t>
      </w:r>
    </w:p>
    <w:p w14:paraId="2FB8B29C" w14:textId="77777777" w:rsidR="009235BE" w:rsidRDefault="009235BE" w:rsidP="009235BE">
      <w:pPr>
        <w:rPr>
          <w:rFonts w:ascii="Arial" w:hAnsi="Arial" w:cs="Arial"/>
        </w:rPr>
      </w:pPr>
      <w:r>
        <w:rPr>
          <w:rFonts w:ascii="Arial" w:hAnsi="Arial" w:cs="Arial"/>
        </w:rPr>
        <w:t xml:space="preserve">Daily Holiday Accrual Rate for NHS Wales is equal to </w:t>
      </w:r>
    </w:p>
    <w:p w14:paraId="5BA8CE41" w14:textId="77777777" w:rsidR="009235BE" w:rsidRDefault="009235BE" w:rsidP="009235BE">
      <w:pPr>
        <w:spacing w:after="0" w:line="240" w:lineRule="auto"/>
        <w:rPr>
          <w:rFonts w:ascii="Arial" w:hAnsi="Arial" w:cs="Arial"/>
        </w:rPr>
      </w:pPr>
      <w:r>
        <w:rPr>
          <w:rFonts w:ascii="Arial" w:hAnsi="Arial" w:cs="Arial"/>
        </w:rPr>
        <w:t>0-5 years = 0.1602</w:t>
      </w:r>
    </w:p>
    <w:p w14:paraId="75FD8DAB" w14:textId="72F4DAFD" w:rsidR="009235BE" w:rsidRDefault="009235BE" w:rsidP="009235BE">
      <w:pPr>
        <w:spacing w:after="0" w:line="240" w:lineRule="auto"/>
        <w:rPr>
          <w:rFonts w:ascii="Arial" w:hAnsi="Arial" w:cs="Arial"/>
        </w:rPr>
      </w:pPr>
      <w:r>
        <w:rPr>
          <w:rFonts w:ascii="Arial" w:hAnsi="Arial" w:cs="Arial"/>
        </w:rPr>
        <w:t xml:space="preserve">5-10 years </w:t>
      </w:r>
      <w:r w:rsidR="00665B40">
        <w:rPr>
          <w:rFonts w:ascii="Arial" w:hAnsi="Arial" w:cs="Arial"/>
        </w:rPr>
        <w:t>= 0.1706</w:t>
      </w:r>
    </w:p>
    <w:p w14:paraId="1B30D534" w14:textId="08F1F41E" w:rsidR="009235BE" w:rsidRDefault="009235BE" w:rsidP="009235BE">
      <w:pPr>
        <w:spacing w:after="0" w:line="240" w:lineRule="auto"/>
        <w:rPr>
          <w:rFonts w:ascii="Arial" w:hAnsi="Arial" w:cs="Arial"/>
        </w:rPr>
      </w:pPr>
      <w:r>
        <w:rPr>
          <w:rFonts w:ascii="Arial" w:hAnsi="Arial" w:cs="Arial"/>
        </w:rPr>
        <w:t>10 years + = 0.1920</w:t>
      </w:r>
    </w:p>
    <w:p w14:paraId="452EDB9F" w14:textId="77777777" w:rsidR="009235BE" w:rsidRDefault="009235BE" w:rsidP="009235BE">
      <w:pPr>
        <w:spacing w:after="0" w:line="240" w:lineRule="auto"/>
        <w:rPr>
          <w:rFonts w:ascii="Arial" w:hAnsi="Arial" w:cs="Arial"/>
        </w:rPr>
      </w:pPr>
    </w:p>
    <w:p w14:paraId="3B6FFDF0" w14:textId="77777777" w:rsidR="009235BE" w:rsidRDefault="009235BE" w:rsidP="009235BE">
      <w:pPr>
        <w:rPr>
          <w:rFonts w:ascii="Arial" w:hAnsi="Arial" w:cs="Arial"/>
        </w:rPr>
      </w:pPr>
      <w:r>
        <w:rPr>
          <w:rFonts w:ascii="Arial" w:hAnsi="Arial" w:cs="Arial"/>
        </w:rPr>
        <w:lastRenderedPageBreak/>
        <w:t>See look up table for NHS Wales at Appendix 1.</w:t>
      </w:r>
    </w:p>
    <w:p w14:paraId="05D84C03" w14:textId="1AE4189F" w:rsidR="00217DB7" w:rsidRPr="00217DB7" w:rsidRDefault="00217DB7" w:rsidP="00217DB7">
      <w:pPr>
        <w:rPr>
          <w:rFonts w:ascii="Arial" w:hAnsi="Arial" w:cs="Arial"/>
          <w:u w:val="single"/>
        </w:rPr>
      </w:pPr>
      <w:r w:rsidRPr="00217DB7">
        <w:rPr>
          <w:rFonts w:ascii="Arial" w:hAnsi="Arial" w:cs="Arial"/>
          <w:u w:val="single"/>
        </w:rPr>
        <w:t>Example</w:t>
      </w:r>
    </w:p>
    <w:p w14:paraId="1DA810E8" w14:textId="6C63D669" w:rsidR="00217DB7" w:rsidRPr="00884C57" w:rsidRDefault="00217DB7" w:rsidP="00217DB7">
      <w:pPr>
        <w:rPr>
          <w:rFonts w:ascii="Arial" w:hAnsi="Arial" w:cs="Arial"/>
        </w:rPr>
      </w:pPr>
      <w:r>
        <w:rPr>
          <w:rFonts w:ascii="Arial" w:hAnsi="Arial" w:cs="Arial"/>
        </w:rPr>
        <w:t>A</w:t>
      </w:r>
      <w:r w:rsidRPr="00884C57">
        <w:rPr>
          <w:rFonts w:ascii="Arial" w:hAnsi="Arial" w:cs="Arial"/>
        </w:rPr>
        <w:t xml:space="preserve"> TTO employee working 3</w:t>
      </w:r>
      <w:r>
        <w:rPr>
          <w:rFonts w:ascii="Arial" w:hAnsi="Arial" w:cs="Arial"/>
        </w:rPr>
        <w:t>3</w:t>
      </w:r>
      <w:r w:rsidRPr="00884C57">
        <w:rPr>
          <w:rFonts w:ascii="Arial" w:hAnsi="Arial" w:cs="Arial"/>
        </w:rPr>
        <w:t xml:space="preserve"> weeks of the year (1</w:t>
      </w:r>
      <w:r>
        <w:rPr>
          <w:rFonts w:ascii="Arial" w:hAnsi="Arial" w:cs="Arial"/>
        </w:rPr>
        <w:t>6</w:t>
      </w:r>
      <w:r w:rsidRPr="00884C57">
        <w:rPr>
          <w:rFonts w:ascii="Arial" w:hAnsi="Arial" w:cs="Arial"/>
        </w:rPr>
        <w:t>5 days) a year and with less than five years’ service would have the following calculation: 0.1</w:t>
      </w:r>
      <w:r>
        <w:rPr>
          <w:rFonts w:ascii="Arial" w:hAnsi="Arial" w:cs="Arial"/>
        </w:rPr>
        <w:t>602</w:t>
      </w:r>
      <w:r w:rsidRPr="00884C57">
        <w:rPr>
          <w:rFonts w:ascii="Arial" w:hAnsi="Arial" w:cs="Arial"/>
        </w:rPr>
        <w:t xml:space="preserve"> x 1</w:t>
      </w:r>
      <w:r>
        <w:rPr>
          <w:rFonts w:ascii="Arial" w:hAnsi="Arial" w:cs="Arial"/>
        </w:rPr>
        <w:t>6</w:t>
      </w:r>
      <w:r w:rsidRPr="00884C57">
        <w:rPr>
          <w:rFonts w:ascii="Arial" w:hAnsi="Arial" w:cs="Arial"/>
        </w:rPr>
        <w:t>5 = 2</w:t>
      </w:r>
      <w:r>
        <w:rPr>
          <w:rFonts w:ascii="Arial" w:hAnsi="Arial" w:cs="Arial"/>
        </w:rPr>
        <w:t>6.43</w:t>
      </w:r>
      <w:r w:rsidRPr="00884C57">
        <w:rPr>
          <w:rFonts w:ascii="Arial" w:hAnsi="Arial" w:cs="Arial"/>
        </w:rPr>
        <w:t xml:space="preserve"> days’ holiday. </w:t>
      </w:r>
    </w:p>
    <w:p w14:paraId="539D620E" w14:textId="77777777" w:rsidR="00217DB7" w:rsidRPr="00884C57" w:rsidRDefault="00217DB7" w:rsidP="00217DB7">
      <w:pPr>
        <w:rPr>
          <w:rFonts w:ascii="Arial" w:hAnsi="Arial" w:cs="Arial"/>
        </w:rPr>
      </w:pPr>
      <w:r w:rsidRPr="00884C57">
        <w:rPr>
          <w:rFonts w:ascii="Arial" w:hAnsi="Arial" w:cs="Arial"/>
        </w:rPr>
        <w:t>If they worked five days a week 2</w:t>
      </w:r>
      <w:r>
        <w:rPr>
          <w:rFonts w:ascii="Arial" w:hAnsi="Arial" w:cs="Arial"/>
        </w:rPr>
        <w:t>6.43</w:t>
      </w:r>
      <w:r w:rsidRPr="00884C57">
        <w:rPr>
          <w:rFonts w:ascii="Arial" w:hAnsi="Arial" w:cs="Arial"/>
        </w:rPr>
        <w:t xml:space="preserve"> days = 5.</w:t>
      </w:r>
      <w:r>
        <w:rPr>
          <w:rFonts w:ascii="Arial" w:hAnsi="Arial" w:cs="Arial"/>
        </w:rPr>
        <w:t>28</w:t>
      </w:r>
      <w:r w:rsidRPr="00884C57">
        <w:rPr>
          <w:rFonts w:ascii="Arial" w:hAnsi="Arial" w:cs="Arial"/>
        </w:rPr>
        <w:t xml:space="preserve"> weeks. They would need an additional </w:t>
      </w:r>
      <w:r>
        <w:rPr>
          <w:rFonts w:ascii="Arial" w:hAnsi="Arial" w:cs="Arial"/>
        </w:rPr>
        <w:t>1.57</w:t>
      </w:r>
      <w:r w:rsidRPr="00884C57">
        <w:rPr>
          <w:rFonts w:ascii="Arial" w:hAnsi="Arial" w:cs="Arial"/>
        </w:rPr>
        <w:t xml:space="preserve"> days’ leave to make their holiday entitlement up to 5.6 weeks i.e., 28 days.</w:t>
      </w:r>
    </w:p>
    <w:p w14:paraId="30E9D39C" w14:textId="53DF886C" w:rsidR="00EB3A8D" w:rsidRPr="00884C57" w:rsidRDefault="00C900A8" w:rsidP="000262A7">
      <w:pPr>
        <w:rPr>
          <w:rFonts w:ascii="Arial" w:hAnsi="Arial" w:cs="Arial"/>
          <w:b/>
          <w:bCs/>
          <w:i/>
          <w:iCs/>
        </w:rPr>
      </w:pPr>
      <w:r w:rsidRPr="00884C57">
        <w:rPr>
          <w:rFonts w:ascii="Arial" w:hAnsi="Arial" w:cs="Arial"/>
          <w:b/>
          <w:bCs/>
          <w:i/>
          <w:iCs/>
        </w:rPr>
        <w:t>Managers and payroll n</w:t>
      </w:r>
      <w:r w:rsidR="00356007" w:rsidRPr="00884C57">
        <w:rPr>
          <w:rFonts w:ascii="Arial" w:hAnsi="Arial" w:cs="Arial"/>
          <w:b/>
          <w:bCs/>
          <w:i/>
          <w:iCs/>
        </w:rPr>
        <w:t>eed to ensure that those staff who previously/currently</w:t>
      </w:r>
      <w:r w:rsidRPr="00884C57">
        <w:rPr>
          <w:rFonts w:ascii="Arial" w:hAnsi="Arial" w:cs="Arial"/>
          <w:b/>
          <w:bCs/>
          <w:i/>
          <w:iCs/>
        </w:rPr>
        <w:t xml:space="preserve"> </w:t>
      </w:r>
      <w:r w:rsidR="00356007" w:rsidRPr="00884C57">
        <w:rPr>
          <w:rFonts w:ascii="Arial" w:hAnsi="Arial" w:cs="Arial"/>
          <w:b/>
          <w:bCs/>
          <w:i/>
          <w:iCs/>
        </w:rPr>
        <w:t>receive less than 5.6 weeks leave</w:t>
      </w:r>
      <w:r w:rsidRPr="00884C57">
        <w:rPr>
          <w:rFonts w:ascii="Arial" w:hAnsi="Arial" w:cs="Arial"/>
          <w:b/>
          <w:bCs/>
          <w:i/>
          <w:iCs/>
        </w:rPr>
        <w:t xml:space="preserve"> have their leave entitlement increased by the required amount.</w:t>
      </w:r>
    </w:p>
    <w:p w14:paraId="2B5124E4" w14:textId="77777777" w:rsidR="008C0DFD" w:rsidRDefault="008C0DFD" w:rsidP="000262A7">
      <w:pPr>
        <w:rPr>
          <w:rFonts w:ascii="Arial" w:hAnsi="Arial" w:cs="Arial"/>
          <w:u w:val="single"/>
        </w:rPr>
      </w:pPr>
    </w:p>
    <w:p w14:paraId="38B858F4" w14:textId="527D4872" w:rsidR="00A54B60" w:rsidRPr="002F7BD2" w:rsidRDefault="00A54B60" w:rsidP="000262A7">
      <w:pPr>
        <w:rPr>
          <w:rFonts w:ascii="Arial" w:hAnsi="Arial" w:cs="Arial"/>
          <w:u w:val="single"/>
        </w:rPr>
      </w:pPr>
      <w:r w:rsidRPr="002F7BD2">
        <w:rPr>
          <w:rFonts w:ascii="Arial" w:hAnsi="Arial" w:cs="Arial"/>
          <w:u w:val="single"/>
        </w:rPr>
        <w:t xml:space="preserve">Term-time and part-time contracts </w:t>
      </w:r>
    </w:p>
    <w:p w14:paraId="1DF5BCA8" w14:textId="166D124D" w:rsidR="00A54B60" w:rsidRPr="002F7BD2" w:rsidRDefault="00A54B60" w:rsidP="000262A7">
      <w:pPr>
        <w:rPr>
          <w:rFonts w:ascii="Arial" w:hAnsi="Arial" w:cs="Arial"/>
        </w:rPr>
      </w:pPr>
      <w:r w:rsidRPr="002F7BD2">
        <w:rPr>
          <w:rFonts w:ascii="Arial" w:hAnsi="Arial" w:cs="Arial"/>
        </w:rPr>
        <w:t xml:space="preserve">Where the term-time employee also works a part-time pattern </w:t>
      </w:r>
      <w:proofErr w:type="gramStart"/>
      <w:r w:rsidRPr="002F7BD2">
        <w:rPr>
          <w:rFonts w:ascii="Arial" w:hAnsi="Arial" w:cs="Arial"/>
        </w:rPr>
        <w:t>i.e.</w:t>
      </w:r>
      <w:proofErr w:type="gramEnd"/>
      <w:r w:rsidRPr="002F7BD2">
        <w:rPr>
          <w:rFonts w:ascii="Arial" w:hAnsi="Arial" w:cs="Arial"/>
        </w:rPr>
        <w:t xml:space="preserve"> fewer than 37.5 hours a working week, a two-element pro-rata calculation will apply in the pay calculation. </w:t>
      </w:r>
    </w:p>
    <w:p w14:paraId="7163D17C" w14:textId="2599CC45" w:rsidR="00AB51F7" w:rsidRDefault="00AB51F7" w:rsidP="000262A7">
      <w:pPr>
        <w:rPr>
          <w:rFonts w:ascii="Arial" w:hAnsi="Arial" w:cs="Arial"/>
        </w:rPr>
      </w:pPr>
      <w:r w:rsidRPr="002F7BD2">
        <w:rPr>
          <w:rFonts w:ascii="Arial" w:hAnsi="Arial" w:cs="Arial"/>
        </w:rPr>
        <w:t xml:space="preserve">The </w:t>
      </w:r>
      <w:r w:rsidR="00B96DC6">
        <w:rPr>
          <w:rFonts w:ascii="Arial" w:hAnsi="Arial" w:cs="Arial"/>
        </w:rPr>
        <w:t xml:space="preserve">NHS Staff Council </w:t>
      </w:r>
      <w:r w:rsidRPr="002F7BD2">
        <w:rPr>
          <w:rFonts w:ascii="Arial" w:hAnsi="Arial" w:cs="Arial"/>
        </w:rPr>
        <w:t xml:space="preserve">guidance should be used </w:t>
      </w:r>
      <w:r w:rsidR="002F7BD2" w:rsidRPr="002F7BD2">
        <w:rPr>
          <w:rFonts w:ascii="Arial" w:hAnsi="Arial" w:cs="Arial"/>
        </w:rPr>
        <w:t>along with the additional look up table for NHS Wales at appendix 1.</w:t>
      </w:r>
    </w:p>
    <w:p w14:paraId="5D02666B" w14:textId="401FEE3D" w:rsidR="00B96DC6" w:rsidRPr="00CF6B0D" w:rsidRDefault="00B96DC6" w:rsidP="000262A7">
      <w:pPr>
        <w:rPr>
          <w:rFonts w:ascii="Arial" w:hAnsi="Arial" w:cs="Arial"/>
        </w:rPr>
      </w:pPr>
    </w:p>
    <w:p w14:paraId="24036C0F" w14:textId="4D53297F" w:rsidR="00B96DC6" w:rsidRPr="00CF6B0D" w:rsidRDefault="00B96DC6" w:rsidP="000262A7">
      <w:pPr>
        <w:rPr>
          <w:rFonts w:ascii="Arial" w:hAnsi="Arial" w:cs="Arial"/>
          <w:u w:val="single"/>
        </w:rPr>
      </w:pPr>
      <w:r w:rsidRPr="00CF6B0D">
        <w:rPr>
          <w:rFonts w:ascii="Arial" w:hAnsi="Arial" w:cs="Arial"/>
          <w:u w:val="single"/>
        </w:rPr>
        <w:t>Hours Based Calculations</w:t>
      </w:r>
    </w:p>
    <w:p w14:paraId="387FE182" w14:textId="7A38FD9A" w:rsidR="00113302" w:rsidRPr="00CF6B0D" w:rsidRDefault="00094E10" w:rsidP="000262A7">
      <w:pPr>
        <w:rPr>
          <w:rFonts w:ascii="Arial" w:hAnsi="Arial" w:cs="Arial"/>
          <w:sz w:val="20"/>
          <w:szCs w:val="20"/>
        </w:rPr>
      </w:pPr>
      <w:r w:rsidRPr="00CF6B0D">
        <w:rPr>
          <w:rFonts w:ascii="Arial" w:hAnsi="Arial" w:cs="Arial"/>
        </w:rPr>
        <w:t xml:space="preserve">If a term-time employee </w:t>
      </w:r>
      <w:r w:rsidR="00EF4883" w:rsidRPr="00CF6B0D">
        <w:rPr>
          <w:rFonts w:ascii="Arial" w:hAnsi="Arial" w:cs="Arial"/>
        </w:rPr>
        <w:t>is</w:t>
      </w:r>
      <w:r w:rsidRPr="00CF6B0D">
        <w:rPr>
          <w:rFonts w:ascii="Arial" w:hAnsi="Arial" w:cs="Arial"/>
        </w:rPr>
        <w:t xml:space="preserve"> contracted to work</w:t>
      </w:r>
      <w:r w:rsidR="00EF4883" w:rsidRPr="00CF6B0D">
        <w:rPr>
          <w:rFonts w:ascii="Arial" w:hAnsi="Arial" w:cs="Arial"/>
        </w:rPr>
        <w:t xml:space="preserve"> variable hours, e.g.  </w:t>
      </w:r>
      <w:r w:rsidRPr="00CF6B0D">
        <w:rPr>
          <w:rFonts w:ascii="Arial" w:hAnsi="Arial" w:cs="Arial"/>
        </w:rPr>
        <w:t>7 hours on a Tuesday and 3 hours on a Thursday (10 hours a week) for 39 weeks a year, it would be more appropriate to calculate their pay and leave entitlement based on hours rather than days. Again, hours should be compared to those worked by an all-year-round equivalent (FTE) employee to calculate the proportion of leave and pay they are entitled to.</w:t>
      </w:r>
    </w:p>
    <w:p w14:paraId="309A7732" w14:textId="77777777" w:rsidR="00CF6B0D" w:rsidRDefault="00CF6B0D" w:rsidP="00CF6B0D">
      <w:pPr>
        <w:rPr>
          <w:rFonts w:ascii="Arial" w:hAnsi="Arial" w:cs="Arial"/>
        </w:rPr>
      </w:pPr>
    </w:p>
    <w:p w14:paraId="628290EF" w14:textId="45AD9E30" w:rsidR="00CF6B0D" w:rsidRPr="00CF6B0D" w:rsidRDefault="00CF6B0D" w:rsidP="00CF6B0D">
      <w:pPr>
        <w:rPr>
          <w:rFonts w:ascii="Arial" w:hAnsi="Arial" w:cs="Arial"/>
        </w:rPr>
      </w:pPr>
      <w:r w:rsidRPr="00CF6B0D">
        <w:rPr>
          <w:rFonts w:ascii="Arial" w:hAnsi="Arial" w:cs="Arial"/>
        </w:rPr>
        <w:t>The NHS Staff Council guidance should be used along with the additional look up table for NHS Wales at appendix 1.</w:t>
      </w:r>
    </w:p>
    <w:p w14:paraId="67233296" w14:textId="4C58A4EB" w:rsidR="00AB51F7" w:rsidRDefault="00AB51F7" w:rsidP="000262A7">
      <w:pPr>
        <w:rPr>
          <w:rFonts w:ascii="Arial" w:hAnsi="Arial" w:cs="Arial"/>
          <w:sz w:val="20"/>
          <w:szCs w:val="20"/>
        </w:rPr>
      </w:pPr>
    </w:p>
    <w:p w14:paraId="7FBBB1F2" w14:textId="5EA6844D" w:rsidR="00AB51F7" w:rsidRDefault="00AB51F7" w:rsidP="000262A7">
      <w:pPr>
        <w:rPr>
          <w:rFonts w:ascii="Arial" w:hAnsi="Arial" w:cs="Arial"/>
          <w:sz w:val="20"/>
          <w:szCs w:val="20"/>
        </w:rPr>
      </w:pPr>
    </w:p>
    <w:p w14:paraId="352E73B0" w14:textId="5218E820" w:rsidR="00AB51F7" w:rsidRDefault="00AB51F7" w:rsidP="000262A7">
      <w:pPr>
        <w:rPr>
          <w:rFonts w:ascii="Arial" w:hAnsi="Arial" w:cs="Arial"/>
          <w:sz w:val="20"/>
          <w:szCs w:val="20"/>
        </w:rPr>
      </w:pPr>
    </w:p>
    <w:p w14:paraId="208DEE84" w14:textId="0003FE19" w:rsidR="00AB51F7" w:rsidRDefault="00AB51F7" w:rsidP="000262A7">
      <w:pPr>
        <w:rPr>
          <w:rFonts w:ascii="Arial" w:hAnsi="Arial" w:cs="Arial"/>
          <w:sz w:val="20"/>
          <w:szCs w:val="20"/>
        </w:rPr>
      </w:pPr>
    </w:p>
    <w:p w14:paraId="3437A4C7" w14:textId="55B939C3" w:rsidR="00AB51F7" w:rsidRDefault="00AB51F7" w:rsidP="000262A7">
      <w:pPr>
        <w:rPr>
          <w:rFonts w:ascii="Arial" w:hAnsi="Arial" w:cs="Arial"/>
          <w:sz w:val="20"/>
          <w:szCs w:val="20"/>
        </w:rPr>
      </w:pPr>
    </w:p>
    <w:p w14:paraId="3DE9E2D7" w14:textId="50B030F7" w:rsidR="00AB51F7" w:rsidRDefault="00AB51F7" w:rsidP="000262A7">
      <w:pPr>
        <w:rPr>
          <w:rFonts w:ascii="Arial" w:hAnsi="Arial" w:cs="Arial"/>
          <w:sz w:val="20"/>
          <w:szCs w:val="20"/>
        </w:rPr>
      </w:pPr>
    </w:p>
    <w:p w14:paraId="12534BED" w14:textId="20946E8F" w:rsidR="00AB51F7" w:rsidRDefault="00AB51F7" w:rsidP="000262A7">
      <w:pPr>
        <w:rPr>
          <w:rFonts w:ascii="Arial" w:hAnsi="Arial" w:cs="Arial"/>
          <w:sz w:val="20"/>
          <w:szCs w:val="20"/>
        </w:rPr>
      </w:pPr>
    </w:p>
    <w:p w14:paraId="796224E9" w14:textId="452EEAFE" w:rsidR="00AB51F7" w:rsidRDefault="00AB51F7" w:rsidP="000262A7">
      <w:pPr>
        <w:rPr>
          <w:rFonts w:ascii="Arial" w:hAnsi="Arial" w:cs="Arial"/>
          <w:sz w:val="20"/>
          <w:szCs w:val="20"/>
        </w:rPr>
      </w:pPr>
    </w:p>
    <w:p w14:paraId="33F9DEED" w14:textId="13E9FCF9" w:rsidR="00AB51F7" w:rsidRDefault="00AB51F7" w:rsidP="000262A7">
      <w:pPr>
        <w:rPr>
          <w:rFonts w:ascii="Arial" w:hAnsi="Arial" w:cs="Arial"/>
          <w:sz w:val="20"/>
          <w:szCs w:val="20"/>
        </w:rPr>
      </w:pPr>
    </w:p>
    <w:p w14:paraId="129A8BE4" w14:textId="4DF55C7B" w:rsidR="00AB51F7" w:rsidRDefault="00AB51F7" w:rsidP="000262A7">
      <w:pPr>
        <w:rPr>
          <w:rFonts w:ascii="Arial" w:hAnsi="Arial" w:cs="Arial"/>
          <w:sz w:val="20"/>
          <w:szCs w:val="20"/>
        </w:rPr>
      </w:pPr>
    </w:p>
    <w:p w14:paraId="58E9AC6E" w14:textId="1788D852" w:rsidR="00AB51F7" w:rsidRDefault="00AB51F7" w:rsidP="000262A7">
      <w:pPr>
        <w:rPr>
          <w:rFonts w:ascii="Arial" w:hAnsi="Arial" w:cs="Arial"/>
          <w:sz w:val="20"/>
          <w:szCs w:val="20"/>
        </w:rPr>
      </w:pPr>
    </w:p>
    <w:p w14:paraId="77DF8BE4" w14:textId="56069C51" w:rsidR="00AB51F7" w:rsidRDefault="00AB51F7" w:rsidP="000262A7">
      <w:pPr>
        <w:rPr>
          <w:rFonts w:ascii="Arial" w:hAnsi="Arial" w:cs="Arial"/>
          <w:sz w:val="20"/>
          <w:szCs w:val="20"/>
        </w:rPr>
      </w:pPr>
    </w:p>
    <w:p w14:paraId="56A7BE3E" w14:textId="7C3A4329" w:rsidR="00AB51F7" w:rsidRDefault="00AB51F7" w:rsidP="000262A7">
      <w:pPr>
        <w:rPr>
          <w:rFonts w:ascii="Arial" w:hAnsi="Arial" w:cs="Arial"/>
          <w:sz w:val="20"/>
          <w:szCs w:val="20"/>
        </w:rPr>
      </w:pPr>
    </w:p>
    <w:p w14:paraId="76778D38" w14:textId="079AF59F" w:rsidR="00AB51F7" w:rsidRPr="00CF6B0D" w:rsidRDefault="00CF6B0D" w:rsidP="008C0DFD">
      <w:pPr>
        <w:jc w:val="right"/>
        <w:rPr>
          <w:rFonts w:ascii="Arial" w:hAnsi="Arial" w:cs="Arial"/>
          <w:b/>
          <w:bCs/>
        </w:rPr>
      </w:pPr>
      <w:r w:rsidRPr="00CF6B0D">
        <w:rPr>
          <w:rFonts w:ascii="Arial" w:hAnsi="Arial" w:cs="Arial"/>
          <w:b/>
          <w:bCs/>
        </w:rPr>
        <w:t>A</w:t>
      </w:r>
      <w:r w:rsidR="008C0DFD" w:rsidRPr="00CF6B0D">
        <w:rPr>
          <w:rFonts w:ascii="Arial" w:hAnsi="Arial" w:cs="Arial"/>
          <w:b/>
          <w:bCs/>
        </w:rPr>
        <w:t>ppendix 1</w:t>
      </w:r>
    </w:p>
    <w:p w14:paraId="15F2B56C" w14:textId="1B26BA91" w:rsidR="00AB51F7" w:rsidRDefault="00AB51F7" w:rsidP="000262A7">
      <w:pPr>
        <w:rPr>
          <w:rFonts w:ascii="Arial" w:hAnsi="Arial" w:cs="Arial"/>
          <w:sz w:val="20"/>
          <w:szCs w:val="20"/>
        </w:rPr>
      </w:pPr>
    </w:p>
    <w:p w14:paraId="6DCD292F" w14:textId="6C82A0C6" w:rsidR="00C202BE" w:rsidRPr="000B0F49" w:rsidRDefault="00F22D50" w:rsidP="00C202BE">
      <w:pPr>
        <w:jc w:val="center"/>
        <w:rPr>
          <w:rFonts w:ascii="Arial" w:hAnsi="Arial" w:cs="Arial"/>
          <w:b/>
          <w:bCs/>
          <w:sz w:val="20"/>
          <w:szCs w:val="20"/>
        </w:rPr>
      </w:pPr>
      <w:r w:rsidRPr="000B0F49">
        <w:rPr>
          <w:rFonts w:ascii="Arial" w:hAnsi="Arial" w:cs="Arial"/>
          <w:b/>
          <w:bCs/>
          <w:sz w:val="20"/>
          <w:szCs w:val="20"/>
        </w:rPr>
        <w:t>Summary Look Up Table</w:t>
      </w:r>
      <w:r w:rsidR="00932197" w:rsidRPr="000B0F49">
        <w:rPr>
          <w:rFonts w:ascii="Arial" w:hAnsi="Arial" w:cs="Arial"/>
          <w:b/>
          <w:bCs/>
          <w:sz w:val="20"/>
          <w:szCs w:val="20"/>
        </w:rPr>
        <w:t xml:space="preserve"> – NHS Wales</w:t>
      </w:r>
    </w:p>
    <w:tbl>
      <w:tblPr>
        <w:tblStyle w:val="TableGrid"/>
        <w:tblW w:w="0" w:type="auto"/>
        <w:tblLayout w:type="fixed"/>
        <w:tblLook w:val="04A0" w:firstRow="1" w:lastRow="0" w:firstColumn="1" w:lastColumn="0" w:noHBand="0" w:noVBand="1"/>
      </w:tblPr>
      <w:tblGrid>
        <w:gridCol w:w="896"/>
        <w:gridCol w:w="1226"/>
        <w:gridCol w:w="1134"/>
        <w:gridCol w:w="1134"/>
        <w:gridCol w:w="1134"/>
        <w:gridCol w:w="1017"/>
        <w:gridCol w:w="826"/>
        <w:gridCol w:w="825"/>
        <w:gridCol w:w="824"/>
      </w:tblGrid>
      <w:tr w:rsidR="00AD53FF" w:rsidRPr="000B0F49" w14:paraId="6685E575" w14:textId="77777777" w:rsidTr="001D341F">
        <w:tc>
          <w:tcPr>
            <w:tcW w:w="4390" w:type="dxa"/>
            <w:gridSpan w:val="4"/>
          </w:tcPr>
          <w:p w14:paraId="56CE30DD" w14:textId="2C52FB43" w:rsidR="00AD53FF" w:rsidRPr="000B0F49" w:rsidRDefault="00AD53FF" w:rsidP="00C202BE">
            <w:pPr>
              <w:jc w:val="center"/>
              <w:rPr>
                <w:rFonts w:ascii="Arial" w:hAnsi="Arial" w:cs="Arial"/>
                <w:sz w:val="20"/>
                <w:szCs w:val="20"/>
              </w:rPr>
            </w:pPr>
            <w:r w:rsidRPr="000B0F49">
              <w:rPr>
                <w:rFonts w:ascii="Arial" w:hAnsi="Arial" w:cs="Arial"/>
                <w:sz w:val="20"/>
                <w:szCs w:val="20"/>
              </w:rPr>
              <w:t>Year Round Contract</w:t>
            </w:r>
          </w:p>
        </w:tc>
        <w:tc>
          <w:tcPr>
            <w:tcW w:w="1134" w:type="dxa"/>
          </w:tcPr>
          <w:p w14:paraId="3F356E7E" w14:textId="28D2A827" w:rsidR="00AD53FF" w:rsidRPr="000B0F49" w:rsidRDefault="00991127" w:rsidP="00C202BE">
            <w:pPr>
              <w:jc w:val="center"/>
              <w:rPr>
                <w:rFonts w:ascii="Arial" w:hAnsi="Arial" w:cs="Arial"/>
                <w:sz w:val="20"/>
                <w:szCs w:val="20"/>
              </w:rPr>
            </w:pPr>
            <w:r w:rsidRPr="000B0F49">
              <w:rPr>
                <w:rFonts w:ascii="Arial" w:hAnsi="Arial" w:cs="Arial"/>
                <w:sz w:val="20"/>
                <w:szCs w:val="20"/>
              </w:rPr>
              <w:t>Daily Holiday Accrual</w:t>
            </w:r>
          </w:p>
        </w:tc>
        <w:tc>
          <w:tcPr>
            <w:tcW w:w="3492" w:type="dxa"/>
            <w:gridSpan w:val="4"/>
          </w:tcPr>
          <w:p w14:paraId="7F4072ED" w14:textId="6D9DD207" w:rsidR="00AD53FF" w:rsidRPr="000B0F49" w:rsidRDefault="00991127" w:rsidP="00C202BE">
            <w:pPr>
              <w:jc w:val="center"/>
              <w:rPr>
                <w:rFonts w:ascii="Arial" w:hAnsi="Arial" w:cs="Arial"/>
                <w:sz w:val="20"/>
                <w:szCs w:val="20"/>
              </w:rPr>
            </w:pPr>
            <w:r w:rsidRPr="000B0F49">
              <w:rPr>
                <w:rFonts w:ascii="Arial" w:hAnsi="Arial" w:cs="Arial"/>
                <w:sz w:val="20"/>
                <w:szCs w:val="20"/>
              </w:rPr>
              <w:t>Term Time Contract</w:t>
            </w:r>
            <w:r w:rsidR="00932197" w:rsidRPr="000B0F49">
              <w:rPr>
                <w:rFonts w:ascii="Arial" w:hAnsi="Arial" w:cs="Arial"/>
                <w:sz w:val="20"/>
                <w:szCs w:val="20"/>
              </w:rPr>
              <w:t xml:space="preserve"> (39 weeks)</w:t>
            </w:r>
          </w:p>
        </w:tc>
      </w:tr>
      <w:tr w:rsidR="00C63E34" w:rsidRPr="000B0F49" w14:paraId="25B3A4EA" w14:textId="77777777" w:rsidTr="001D341F">
        <w:tc>
          <w:tcPr>
            <w:tcW w:w="896" w:type="dxa"/>
          </w:tcPr>
          <w:p w14:paraId="34CE3520" w14:textId="77777777" w:rsidR="00C202BE" w:rsidRDefault="000B0F49" w:rsidP="00C202BE">
            <w:pPr>
              <w:jc w:val="center"/>
              <w:rPr>
                <w:rFonts w:ascii="Arial" w:hAnsi="Arial" w:cs="Arial"/>
                <w:sz w:val="20"/>
                <w:szCs w:val="20"/>
              </w:rPr>
            </w:pPr>
            <w:r>
              <w:rPr>
                <w:rFonts w:ascii="Arial" w:hAnsi="Arial" w:cs="Arial"/>
                <w:sz w:val="20"/>
                <w:szCs w:val="20"/>
              </w:rPr>
              <w:t>Years</w:t>
            </w:r>
          </w:p>
          <w:p w14:paraId="39C0A0FB" w14:textId="050696F4" w:rsidR="000B0F49" w:rsidRPr="000B0F49" w:rsidRDefault="000B0F49" w:rsidP="00C202BE">
            <w:pPr>
              <w:jc w:val="center"/>
              <w:rPr>
                <w:rFonts w:ascii="Arial" w:hAnsi="Arial" w:cs="Arial"/>
                <w:sz w:val="20"/>
                <w:szCs w:val="20"/>
              </w:rPr>
            </w:pPr>
            <w:r>
              <w:rPr>
                <w:rFonts w:ascii="Arial" w:hAnsi="Arial" w:cs="Arial"/>
                <w:sz w:val="20"/>
                <w:szCs w:val="20"/>
              </w:rPr>
              <w:t>Service</w:t>
            </w:r>
          </w:p>
        </w:tc>
        <w:tc>
          <w:tcPr>
            <w:tcW w:w="1226" w:type="dxa"/>
          </w:tcPr>
          <w:p w14:paraId="16B35B4B" w14:textId="77777777" w:rsidR="00B04931" w:rsidRPr="000B0F49" w:rsidRDefault="003E557E" w:rsidP="007E4B3B">
            <w:pPr>
              <w:rPr>
                <w:rFonts w:ascii="Arial" w:hAnsi="Arial" w:cs="Arial"/>
                <w:sz w:val="20"/>
                <w:szCs w:val="20"/>
              </w:rPr>
            </w:pPr>
            <w:r w:rsidRPr="000B0F49">
              <w:rPr>
                <w:rFonts w:ascii="Arial" w:hAnsi="Arial" w:cs="Arial"/>
                <w:sz w:val="20"/>
                <w:szCs w:val="20"/>
              </w:rPr>
              <w:t xml:space="preserve">A </w:t>
            </w:r>
          </w:p>
          <w:p w14:paraId="2DEC911B" w14:textId="21A3745A" w:rsidR="00C202BE" w:rsidRPr="000B0F49" w:rsidRDefault="00C63E34" w:rsidP="007E4B3B">
            <w:pPr>
              <w:rPr>
                <w:rFonts w:ascii="Arial" w:hAnsi="Arial" w:cs="Arial"/>
                <w:sz w:val="20"/>
                <w:szCs w:val="20"/>
              </w:rPr>
            </w:pPr>
            <w:r w:rsidRPr="000B0F49">
              <w:rPr>
                <w:rFonts w:ascii="Arial" w:hAnsi="Arial" w:cs="Arial"/>
                <w:sz w:val="20"/>
                <w:szCs w:val="20"/>
              </w:rPr>
              <w:t>Working Days</w:t>
            </w:r>
          </w:p>
        </w:tc>
        <w:tc>
          <w:tcPr>
            <w:tcW w:w="1134" w:type="dxa"/>
          </w:tcPr>
          <w:p w14:paraId="773267E2" w14:textId="77777777" w:rsidR="007E4B3B" w:rsidRPr="000B0F49" w:rsidRDefault="003E557E" w:rsidP="007E4B3B">
            <w:pPr>
              <w:rPr>
                <w:rFonts w:ascii="Arial" w:hAnsi="Arial" w:cs="Arial"/>
                <w:sz w:val="20"/>
                <w:szCs w:val="20"/>
              </w:rPr>
            </w:pPr>
            <w:r w:rsidRPr="000B0F49">
              <w:rPr>
                <w:rFonts w:ascii="Arial" w:hAnsi="Arial" w:cs="Arial"/>
                <w:sz w:val="20"/>
                <w:szCs w:val="20"/>
              </w:rPr>
              <w:t>B</w:t>
            </w:r>
          </w:p>
          <w:p w14:paraId="67877D11" w14:textId="3B378CF2" w:rsidR="00C202BE" w:rsidRPr="000B0F49" w:rsidRDefault="00C63E34" w:rsidP="007E4B3B">
            <w:pPr>
              <w:rPr>
                <w:rFonts w:ascii="Arial" w:hAnsi="Arial" w:cs="Arial"/>
                <w:sz w:val="20"/>
                <w:szCs w:val="20"/>
              </w:rPr>
            </w:pPr>
            <w:r w:rsidRPr="000B0F49">
              <w:rPr>
                <w:rFonts w:ascii="Arial" w:hAnsi="Arial" w:cs="Arial"/>
                <w:sz w:val="20"/>
                <w:szCs w:val="20"/>
              </w:rPr>
              <w:t xml:space="preserve">Hols </w:t>
            </w:r>
            <w:proofErr w:type="spellStart"/>
            <w:r w:rsidRPr="000B0F49">
              <w:rPr>
                <w:rFonts w:ascii="Arial" w:hAnsi="Arial" w:cs="Arial"/>
                <w:sz w:val="20"/>
                <w:szCs w:val="20"/>
              </w:rPr>
              <w:t>incl</w:t>
            </w:r>
            <w:proofErr w:type="spellEnd"/>
            <w:r w:rsidRPr="000B0F49">
              <w:rPr>
                <w:rFonts w:ascii="Arial" w:hAnsi="Arial" w:cs="Arial"/>
                <w:sz w:val="20"/>
                <w:szCs w:val="20"/>
              </w:rPr>
              <w:t xml:space="preserve"> BH</w:t>
            </w:r>
            <w:r w:rsidR="001D341F" w:rsidRPr="000B0F49">
              <w:rPr>
                <w:rFonts w:ascii="Arial" w:hAnsi="Arial" w:cs="Arial"/>
                <w:sz w:val="20"/>
                <w:szCs w:val="20"/>
              </w:rPr>
              <w:t>s</w:t>
            </w:r>
          </w:p>
        </w:tc>
        <w:tc>
          <w:tcPr>
            <w:tcW w:w="1134" w:type="dxa"/>
          </w:tcPr>
          <w:p w14:paraId="2317AFEF" w14:textId="77777777" w:rsidR="007E4B3B" w:rsidRPr="000B0F49" w:rsidRDefault="007E4B3B" w:rsidP="00BF722B">
            <w:pPr>
              <w:jc w:val="both"/>
              <w:rPr>
                <w:rFonts w:ascii="Arial" w:hAnsi="Arial" w:cs="Arial"/>
                <w:sz w:val="20"/>
                <w:szCs w:val="20"/>
              </w:rPr>
            </w:pPr>
            <w:r w:rsidRPr="000B0F49">
              <w:rPr>
                <w:rFonts w:ascii="Arial" w:hAnsi="Arial" w:cs="Arial"/>
                <w:sz w:val="20"/>
                <w:szCs w:val="20"/>
              </w:rPr>
              <w:t>C</w:t>
            </w:r>
            <w:r w:rsidR="00F3391C" w:rsidRPr="000B0F49">
              <w:rPr>
                <w:rFonts w:ascii="Arial" w:hAnsi="Arial" w:cs="Arial"/>
                <w:sz w:val="20"/>
                <w:szCs w:val="20"/>
              </w:rPr>
              <w:t xml:space="preserve"> </w:t>
            </w:r>
          </w:p>
          <w:p w14:paraId="53D5E139" w14:textId="49FC1811" w:rsidR="00C202BE" w:rsidRPr="000B0F49" w:rsidRDefault="00F3391C" w:rsidP="00BF722B">
            <w:pPr>
              <w:jc w:val="both"/>
              <w:rPr>
                <w:rFonts w:ascii="Arial" w:hAnsi="Arial" w:cs="Arial"/>
                <w:sz w:val="20"/>
                <w:szCs w:val="20"/>
              </w:rPr>
            </w:pPr>
            <w:r w:rsidRPr="000B0F49">
              <w:rPr>
                <w:rFonts w:ascii="Arial" w:hAnsi="Arial" w:cs="Arial"/>
                <w:sz w:val="20"/>
                <w:szCs w:val="20"/>
              </w:rPr>
              <w:t>Total</w:t>
            </w:r>
            <w:r w:rsidR="007E4B3B" w:rsidRPr="000B0F49">
              <w:rPr>
                <w:rFonts w:ascii="Arial" w:hAnsi="Arial" w:cs="Arial"/>
                <w:sz w:val="20"/>
                <w:szCs w:val="20"/>
              </w:rPr>
              <w:t xml:space="preserve"> </w:t>
            </w:r>
            <w:r w:rsidRPr="000B0F49">
              <w:rPr>
                <w:rFonts w:ascii="Arial" w:hAnsi="Arial" w:cs="Arial"/>
                <w:sz w:val="20"/>
                <w:szCs w:val="20"/>
              </w:rPr>
              <w:t>Paid Days</w:t>
            </w:r>
          </w:p>
        </w:tc>
        <w:tc>
          <w:tcPr>
            <w:tcW w:w="1134" w:type="dxa"/>
          </w:tcPr>
          <w:p w14:paraId="4F2E1EB3" w14:textId="3470F3F4" w:rsidR="00C202BE" w:rsidRPr="000B0F49" w:rsidRDefault="001921E8" w:rsidP="00C202BE">
            <w:pPr>
              <w:jc w:val="center"/>
              <w:rPr>
                <w:rFonts w:ascii="Arial" w:hAnsi="Arial" w:cs="Arial"/>
                <w:sz w:val="20"/>
                <w:szCs w:val="20"/>
              </w:rPr>
            </w:pPr>
            <w:r>
              <w:rPr>
                <w:rFonts w:ascii="Arial" w:hAnsi="Arial" w:cs="Arial"/>
                <w:sz w:val="20"/>
                <w:szCs w:val="20"/>
              </w:rPr>
              <w:t>D</w:t>
            </w:r>
          </w:p>
        </w:tc>
        <w:tc>
          <w:tcPr>
            <w:tcW w:w="1017" w:type="dxa"/>
          </w:tcPr>
          <w:p w14:paraId="375C8E72" w14:textId="660A5405" w:rsidR="00C202BE" w:rsidRPr="000B0F49" w:rsidRDefault="003E557E" w:rsidP="00BF722B">
            <w:pPr>
              <w:rPr>
                <w:rFonts w:ascii="Arial" w:hAnsi="Arial" w:cs="Arial"/>
                <w:sz w:val="20"/>
                <w:szCs w:val="20"/>
              </w:rPr>
            </w:pPr>
            <w:r w:rsidRPr="000B0F49">
              <w:rPr>
                <w:rFonts w:ascii="Arial" w:hAnsi="Arial" w:cs="Arial"/>
                <w:sz w:val="20"/>
                <w:szCs w:val="20"/>
              </w:rPr>
              <w:t>E Working Days</w:t>
            </w:r>
          </w:p>
        </w:tc>
        <w:tc>
          <w:tcPr>
            <w:tcW w:w="826" w:type="dxa"/>
          </w:tcPr>
          <w:p w14:paraId="77F3107A" w14:textId="77777777" w:rsidR="00C202BE" w:rsidRPr="000B0F49" w:rsidRDefault="00BF722B" w:rsidP="00C202BE">
            <w:pPr>
              <w:jc w:val="center"/>
              <w:rPr>
                <w:rFonts w:ascii="Arial" w:hAnsi="Arial" w:cs="Arial"/>
                <w:sz w:val="20"/>
                <w:szCs w:val="20"/>
              </w:rPr>
            </w:pPr>
            <w:r w:rsidRPr="000B0F49">
              <w:rPr>
                <w:rFonts w:ascii="Arial" w:hAnsi="Arial" w:cs="Arial"/>
                <w:sz w:val="20"/>
                <w:szCs w:val="20"/>
              </w:rPr>
              <w:t>F</w:t>
            </w:r>
          </w:p>
          <w:p w14:paraId="74D187F3" w14:textId="71C72508" w:rsidR="00BF722B" w:rsidRPr="000B0F49" w:rsidRDefault="00BF722B" w:rsidP="00BF722B">
            <w:pPr>
              <w:rPr>
                <w:rFonts w:ascii="Arial" w:hAnsi="Arial" w:cs="Arial"/>
                <w:sz w:val="20"/>
                <w:szCs w:val="20"/>
              </w:rPr>
            </w:pPr>
            <w:r w:rsidRPr="000B0F49">
              <w:rPr>
                <w:rFonts w:ascii="Arial" w:hAnsi="Arial" w:cs="Arial"/>
                <w:sz w:val="20"/>
                <w:szCs w:val="20"/>
              </w:rPr>
              <w:t xml:space="preserve">Hols </w:t>
            </w:r>
            <w:proofErr w:type="spellStart"/>
            <w:r w:rsidRPr="000B0F49">
              <w:rPr>
                <w:rFonts w:ascii="Arial" w:hAnsi="Arial" w:cs="Arial"/>
                <w:sz w:val="20"/>
                <w:szCs w:val="20"/>
              </w:rPr>
              <w:t>inc</w:t>
            </w:r>
            <w:proofErr w:type="spellEnd"/>
            <w:r w:rsidRPr="000B0F49">
              <w:rPr>
                <w:rFonts w:ascii="Arial" w:hAnsi="Arial" w:cs="Arial"/>
                <w:sz w:val="20"/>
                <w:szCs w:val="20"/>
              </w:rPr>
              <w:t xml:space="preserve"> PHs</w:t>
            </w:r>
          </w:p>
        </w:tc>
        <w:tc>
          <w:tcPr>
            <w:tcW w:w="825" w:type="dxa"/>
          </w:tcPr>
          <w:p w14:paraId="0530BB0B" w14:textId="77777777" w:rsidR="00C202BE" w:rsidRPr="000B0F49" w:rsidRDefault="00BF722B" w:rsidP="00C202BE">
            <w:pPr>
              <w:jc w:val="center"/>
              <w:rPr>
                <w:rFonts w:ascii="Arial" w:hAnsi="Arial" w:cs="Arial"/>
                <w:sz w:val="20"/>
                <w:szCs w:val="20"/>
              </w:rPr>
            </w:pPr>
            <w:r w:rsidRPr="000B0F49">
              <w:rPr>
                <w:rFonts w:ascii="Arial" w:hAnsi="Arial" w:cs="Arial"/>
                <w:sz w:val="20"/>
                <w:szCs w:val="20"/>
              </w:rPr>
              <w:t>G</w:t>
            </w:r>
          </w:p>
          <w:p w14:paraId="25595BA2" w14:textId="55AA4D5A" w:rsidR="00BF722B" w:rsidRPr="000B0F49" w:rsidRDefault="00BF722B" w:rsidP="00BF722B">
            <w:pPr>
              <w:rPr>
                <w:rFonts w:ascii="Arial" w:hAnsi="Arial" w:cs="Arial"/>
                <w:sz w:val="20"/>
                <w:szCs w:val="20"/>
              </w:rPr>
            </w:pPr>
            <w:r w:rsidRPr="000B0F49">
              <w:rPr>
                <w:rFonts w:ascii="Arial" w:hAnsi="Arial" w:cs="Arial"/>
                <w:sz w:val="20"/>
                <w:szCs w:val="20"/>
              </w:rPr>
              <w:t>Total Paid Days</w:t>
            </w:r>
          </w:p>
        </w:tc>
        <w:tc>
          <w:tcPr>
            <w:tcW w:w="824" w:type="dxa"/>
          </w:tcPr>
          <w:p w14:paraId="701D0E1F" w14:textId="3D90006E" w:rsidR="00C202BE" w:rsidRPr="000B0F49" w:rsidRDefault="00BF722B" w:rsidP="00BF722B">
            <w:pPr>
              <w:rPr>
                <w:rFonts w:ascii="Arial" w:hAnsi="Arial" w:cs="Arial"/>
                <w:sz w:val="20"/>
                <w:szCs w:val="20"/>
              </w:rPr>
            </w:pPr>
            <w:r w:rsidRPr="000B0F49">
              <w:rPr>
                <w:rFonts w:ascii="Arial" w:hAnsi="Arial" w:cs="Arial"/>
                <w:sz w:val="20"/>
                <w:szCs w:val="20"/>
              </w:rPr>
              <w:t>Pro Rata Pay</w:t>
            </w:r>
          </w:p>
        </w:tc>
      </w:tr>
      <w:tr w:rsidR="00E3756C" w:rsidRPr="000B0F49" w14:paraId="02B5B95C" w14:textId="77777777" w:rsidTr="001D341F">
        <w:tc>
          <w:tcPr>
            <w:tcW w:w="896" w:type="dxa"/>
          </w:tcPr>
          <w:p w14:paraId="77CA5CFA" w14:textId="30A70856" w:rsidR="00E3756C" w:rsidRPr="00CE185F" w:rsidRDefault="00E3756C" w:rsidP="00E3756C">
            <w:pPr>
              <w:jc w:val="center"/>
              <w:rPr>
                <w:rFonts w:ascii="Arial" w:hAnsi="Arial" w:cs="Arial"/>
                <w:sz w:val="16"/>
                <w:szCs w:val="16"/>
              </w:rPr>
            </w:pPr>
            <w:r w:rsidRPr="00CE185F">
              <w:rPr>
                <w:rFonts w:ascii="Arial" w:hAnsi="Arial" w:cs="Arial"/>
                <w:sz w:val="16"/>
                <w:szCs w:val="16"/>
              </w:rPr>
              <w:t>0-5</w:t>
            </w:r>
          </w:p>
        </w:tc>
        <w:tc>
          <w:tcPr>
            <w:tcW w:w="1226" w:type="dxa"/>
          </w:tcPr>
          <w:p w14:paraId="295DD6F6" w14:textId="0B58703B" w:rsidR="00E3756C" w:rsidRPr="00CE185F" w:rsidRDefault="007E26D9" w:rsidP="00E3756C">
            <w:pPr>
              <w:jc w:val="center"/>
              <w:rPr>
                <w:rFonts w:ascii="Arial" w:hAnsi="Arial" w:cs="Arial"/>
                <w:sz w:val="16"/>
                <w:szCs w:val="16"/>
              </w:rPr>
            </w:pPr>
            <w:r w:rsidRPr="00CE185F">
              <w:rPr>
                <w:rFonts w:ascii="Arial" w:hAnsi="Arial" w:cs="Arial"/>
                <w:sz w:val="16"/>
                <w:szCs w:val="16"/>
              </w:rPr>
              <w:t>224.71</w:t>
            </w:r>
          </w:p>
        </w:tc>
        <w:tc>
          <w:tcPr>
            <w:tcW w:w="1134" w:type="dxa"/>
          </w:tcPr>
          <w:p w14:paraId="100C63D3" w14:textId="4125BF77" w:rsidR="00E3756C" w:rsidRPr="00CE185F" w:rsidRDefault="00580D92" w:rsidP="00E3756C">
            <w:pPr>
              <w:jc w:val="center"/>
              <w:rPr>
                <w:rFonts w:ascii="Arial" w:hAnsi="Arial" w:cs="Arial"/>
                <w:sz w:val="16"/>
                <w:szCs w:val="16"/>
              </w:rPr>
            </w:pPr>
            <w:r w:rsidRPr="00CE185F">
              <w:rPr>
                <w:rFonts w:ascii="Arial" w:hAnsi="Arial" w:cs="Arial"/>
                <w:sz w:val="16"/>
                <w:szCs w:val="16"/>
              </w:rPr>
              <w:t>35</w:t>
            </w:r>
          </w:p>
        </w:tc>
        <w:tc>
          <w:tcPr>
            <w:tcW w:w="1134" w:type="dxa"/>
          </w:tcPr>
          <w:p w14:paraId="465E61EE" w14:textId="0A9046EB" w:rsidR="00E3756C" w:rsidRPr="00CE185F" w:rsidRDefault="00E3756C" w:rsidP="00E3756C">
            <w:pPr>
              <w:jc w:val="center"/>
              <w:rPr>
                <w:rFonts w:ascii="Arial" w:hAnsi="Arial" w:cs="Arial"/>
                <w:sz w:val="16"/>
                <w:szCs w:val="16"/>
              </w:rPr>
            </w:pPr>
            <w:r w:rsidRPr="00CE185F">
              <w:rPr>
                <w:rFonts w:ascii="Arial" w:hAnsi="Arial" w:cs="Arial"/>
                <w:sz w:val="16"/>
                <w:szCs w:val="16"/>
              </w:rPr>
              <w:t>260.71</w:t>
            </w:r>
          </w:p>
        </w:tc>
        <w:tc>
          <w:tcPr>
            <w:tcW w:w="1134" w:type="dxa"/>
          </w:tcPr>
          <w:p w14:paraId="2DDFBDDB" w14:textId="5446B973" w:rsidR="00E3756C" w:rsidRPr="00CE185F" w:rsidRDefault="00E3756C" w:rsidP="00E3756C">
            <w:pPr>
              <w:jc w:val="center"/>
              <w:rPr>
                <w:rFonts w:ascii="Arial" w:hAnsi="Arial" w:cs="Arial"/>
                <w:sz w:val="16"/>
                <w:szCs w:val="16"/>
              </w:rPr>
            </w:pPr>
            <w:r w:rsidRPr="00CE185F">
              <w:rPr>
                <w:rFonts w:ascii="Arial" w:hAnsi="Arial" w:cs="Arial"/>
                <w:sz w:val="16"/>
                <w:szCs w:val="16"/>
              </w:rPr>
              <w:t>0.1602</w:t>
            </w:r>
          </w:p>
        </w:tc>
        <w:tc>
          <w:tcPr>
            <w:tcW w:w="1017" w:type="dxa"/>
          </w:tcPr>
          <w:p w14:paraId="7B833E97" w14:textId="3F1C39A5" w:rsidR="00E3756C" w:rsidRPr="00CE185F" w:rsidRDefault="001B6B10" w:rsidP="00E3756C">
            <w:pPr>
              <w:jc w:val="center"/>
              <w:rPr>
                <w:rFonts w:ascii="Arial" w:hAnsi="Arial" w:cs="Arial"/>
                <w:sz w:val="16"/>
                <w:szCs w:val="16"/>
              </w:rPr>
            </w:pPr>
            <w:r w:rsidRPr="00CE185F">
              <w:rPr>
                <w:rFonts w:ascii="Arial" w:hAnsi="Arial" w:cs="Arial"/>
                <w:sz w:val="16"/>
                <w:szCs w:val="16"/>
              </w:rPr>
              <w:t>195</w:t>
            </w:r>
          </w:p>
        </w:tc>
        <w:tc>
          <w:tcPr>
            <w:tcW w:w="826" w:type="dxa"/>
          </w:tcPr>
          <w:p w14:paraId="7505245C" w14:textId="677B911D" w:rsidR="00E3756C" w:rsidRPr="00CE185F" w:rsidRDefault="006536D0" w:rsidP="00E3756C">
            <w:pPr>
              <w:jc w:val="center"/>
              <w:rPr>
                <w:rFonts w:ascii="Arial" w:hAnsi="Arial" w:cs="Arial"/>
                <w:sz w:val="16"/>
                <w:szCs w:val="16"/>
              </w:rPr>
            </w:pPr>
            <w:r w:rsidRPr="00CE185F">
              <w:rPr>
                <w:rFonts w:ascii="Arial" w:hAnsi="Arial" w:cs="Arial"/>
                <w:sz w:val="16"/>
                <w:szCs w:val="16"/>
              </w:rPr>
              <w:t>31.23</w:t>
            </w:r>
            <w:r w:rsidR="00DE4617" w:rsidRPr="00CE185F">
              <w:rPr>
                <w:rFonts w:ascii="Arial" w:hAnsi="Arial" w:cs="Arial"/>
                <w:sz w:val="16"/>
                <w:szCs w:val="16"/>
              </w:rPr>
              <w:t>9</w:t>
            </w:r>
          </w:p>
        </w:tc>
        <w:tc>
          <w:tcPr>
            <w:tcW w:w="825" w:type="dxa"/>
          </w:tcPr>
          <w:p w14:paraId="6150C0DA" w14:textId="0066FBA6" w:rsidR="00E3756C" w:rsidRPr="00CE185F" w:rsidRDefault="002A7536" w:rsidP="00E3756C">
            <w:pPr>
              <w:jc w:val="center"/>
              <w:rPr>
                <w:rFonts w:ascii="Arial" w:hAnsi="Arial" w:cs="Arial"/>
                <w:sz w:val="16"/>
                <w:szCs w:val="16"/>
              </w:rPr>
            </w:pPr>
            <w:r w:rsidRPr="00CE185F">
              <w:rPr>
                <w:rFonts w:ascii="Arial" w:hAnsi="Arial" w:cs="Arial"/>
                <w:sz w:val="16"/>
                <w:szCs w:val="16"/>
              </w:rPr>
              <w:t>226.239</w:t>
            </w:r>
          </w:p>
        </w:tc>
        <w:tc>
          <w:tcPr>
            <w:tcW w:w="824" w:type="dxa"/>
          </w:tcPr>
          <w:p w14:paraId="72034688" w14:textId="19BDF914" w:rsidR="00E3756C" w:rsidRPr="00CE185F" w:rsidRDefault="00E3756C" w:rsidP="00E3756C">
            <w:pPr>
              <w:jc w:val="center"/>
              <w:rPr>
                <w:rFonts w:ascii="Arial" w:hAnsi="Arial" w:cs="Arial"/>
                <w:sz w:val="16"/>
                <w:szCs w:val="16"/>
              </w:rPr>
            </w:pPr>
            <w:r w:rsidRPr="00CE185F">
              <w:rPr>
                <w:rFonts w:ascii="Arial" w:hAnsi="Arial" w:cs="Arial"/>
                <w:sz w:val="16"/>
                <w:szCs w:val="16"/>
              </w:rPr>
              <w:t>86.77</w:t>
            </w:r>
          </w:p>
        </w:tc>
      </w:tr>
      <w:tr w:rsidR="00E3756C" w:rsidRPr="000B0F49" w14:paraId="26D83B58" w14:textId="77777777" w:rsidTr="001D341F">
        <w:tc>
          <w:tcPr>
            <w:tcW w:w="896" w:type="dxa"/>
          </w:tcPr>
          <w:p w14:paraId="1094ABE8" w14:textId="5BE636F2" w:rsidR="00E3756C" w:rsidRPr="00CE185F" w:rsidRDefault="00E3756C" w:rsidP="00E3756C">
            <w:pPr>
              <w:jc w:val="center"/>
              <w:rPr>
                <w:rFonts w:ascii="Arial" w:hAnsi="Arial" w:cs="Arial"/>
                <w:sz w:val="16"/>
                <w:szCs w:val="16"/>
              </w:rPr>
            </w:pPr>
            <w:r w:rsidRPr="00CE185F">
              <w:rPr>
                <w:rFonts w:ascii="Arial" w:hAnsi="Arial" w:cs="Arial"/>
                <w:sz w:val="16"/>
                <w:szCs w:val="16"/>
              </w:rPr>
              <w:t>5-10</w:t>
            </w:r>
          </w:p>
        </w:tc>
        <w:tc>
          <w:tcPr>
            <w:tcW w:w="1226" w:type="dxa"/>
          </w:tcPr>
          <w:p w14:paraId="3293A093" w14:textId="54EC6BBB" w:rsidR="00E3756C" w:rsidRPr="00CE185F" w:rsidRDefault="0001085E" w:rsidP="00E3756C">
            <w:pPr>
              <w:jc w:val="center"/>
              <w:rPr>
                <w:rFonts w:ascii="Arial" w:hAnsi="Arial" w:cs="Arial"/>
                <w:sz w:val="16"/>
                <w:szCs w:val="16"/>
              </w:rPr>
            </w:pPr>
            <w:r w:rsidRPr="00CE185F">
              <w:rPr>
                <w:rFonts w:ascii="Arial" w:hAnsi="Arial" w:cs="Arial"/>
                <w:sz w:val="16"/>
                <w:szCs w:val="16"/>
              </w:rPr>
              <w:t>222.71</w:t>
            </w:r>
          </w:p>
        </w:tc>
        <w:tc>
          <w:tcPr>
            <w:tcW w:w="1134" w:type="dxa"/>
          </w:tcPr>
          <w:p w14:paraId="64840835" w14:textId="1D8CFDBA" w:rsidR="00E3756C" w:rsidRPr="00CE185F" w:rsidRDefault="007E26D9" w:rsidP="00E3756C">
            <w:pPr>
              <w:jc w:val="center"/>
              <w:rPr>
                <w:rFonts w:ascii="Arial" w:hAnsi="Arial" w:cs="Arial"/>
                <w:sz w:val="16"/>
                <w:szCs w:val="16"/>
              </w:rPr>
            </w:pPr>
            <w:r w:rsidRPr="00CE185F">
              <w:rPr>
                <w:rFonts w:ascii="Arial" w:hAnsi="Arial" w:cs="Arial"/>
                <w:sz w:val="16"/>
                <w:szCs w:val="16"/>
              </w:rPr>
              <w:t>3</w:t>
            </w:r>
            <w:r w:rsidR="00580D92" w:rsidRPr="00CE185F">
              <w:rPr>
                <w:rFonts w:ascii="Arial" w:hAnsi="Arial" w:cs="Arial"/>
                <w:sz w:val="16"/>
                <w:szCs w:val="16"/>
              </w:rPr>
              <w:t>8</w:t>
            </w:r>
          </w:p>
        </w:tc>
        <w:tc>
          <w:tcPr>
            <w:tcW w:w="1134" w:type="dxa"/>
          </w:tcPr>
          <w:p w14:paraId="383BCD2B" w14:textId="4D83FB21" w:rsidR="00E3756C" w:rsidRPr="00CE185F" w:rsidRDefault="00E3756C" w:rsidP="00E3756C">
            <w:pPr>
              <w:jc w:val="center"/>
              <w:rPr>
                <w:rFonts w:ascii="Arial" w:hAnsi="Arial" w:cs="Arial"/>
                <w:sz w:val="16"/>
                <w:szCs w:val="16"/>
              </w:rPr>
            </w:pPr>
            <w:r w:rsidRPr="00CE185F">
              <w:rPr>
                <w:rFonts w:ascii="Arial" w:hAnsi="Arial" w:cs="Arial"/>
                <w:sz w:val="16"/>
                <w:szCs w:val="16"/>
              </w:rPr>
              <w:t>260.71</w:t>
            </w:r>
          </w:p>
        </w:tc>
        <w:tc>
          <w:tcPr>
            <w:tcW w:w="1134" w:type="dxa"/>
          </w:tcPr>
          <w:p w14:paraId="693AC462" w14:textId="31B65117" w:rsidR="00E3756C" w:rsidRPr="00CE185F" w:rsidRDefault="00E3756C" w:rsidP="00E3756C">
            <w:pPr>
              <w:jc w:val="center"/>
              <w:rPr>
                <w:rFonts w:ascii="Arial" w:hAnsi="Arial" w:cs="Arial"/>
                <w:sz w:val="16"/>
                <w:szCs w:val="16"/>
              </w:rPr>
            </w:pPr>
            <w:r w:rsidRPr="00CE185F">
              <w:rPr>
                <w:rFonts w:ascii="Arial" w:hAnsi="Arial" w:cs="Arial"/>
                <w:sz w:val="16"/>
                <w:szCs w:val="16"/>
              </w:rPr>
              <w:t>0.1706</w:t>
            </w:r>
          </w:p>
        </w:tc>
        <w:tc>
          <w:tcPr>
            <w:tcW w:w="1017" w:type="dxa"/>
          </w:tcPr>
          <w:p w14:paraId="0E8CD4AC" w14:textId="5055B329" w:rsidR="00E3756C" w:rsidRPr="00CE185F" w:rsidRDefault="001B6B10" w:rsidP="00E3756C">
            <w:pPr>
              <w:jc w:val="center"/>
              <w:rPr>
                <w:rFonts w:ascii="Arial" w:hAnsi="Arial" w:cs="Arial"/>
                <w:sz w:val="16"/>
                <w:szCs w:val="16"/>
              </w:rPr>
            </w:pPr>
            <w:r w:rsidRPr="00CE185F">
              <w:rPr>
                <w:rFonts w:ascii="Arial" w:hAnsi="Arial" w:cs="Arial"/>
                <w:sz w:val="16"/>
                <w:szCs w:val="16"/>
              </w:rPr>
              <w:t>195</w:t>
            </w:r>
          </w:p>
        </w:tc>
        <w:tc>
          <w:tcPr>
            <w:tcW w:w="826" w:type="dxa"/>
          </w:tcPr>
          <w:p w14:paraId="4BC781A2" w14:textId="3DC4AE46" w:rsidR="00E3756C" w:rsidRPr="00CE185F" w:rsidRDefault="00DE4617" w:rsidP="00E3756C">
            <w:pPr>
              <w:jc w:val="center"/>
              <w:rPr>
                <w:rFonts w:ascii="Arial" w:hAnsi="Arial" w:cs="Arial"/>
                <w:sz w:val="16"/>
                <w:szCs w:val="16"/>
              </w:rPr>
            </w:pPr>
            <w:r w:rsidRPr="00CE185F">
              <w:rPr>
                <w:rFonts w:ascii="Arial" w:hAnsi="Arial" w:cs="Arial"/>
                <w:sz w:val="16"/>
                <w:szCs w:val="16"/>
              </w:rPr>
              <w:t>33.267</w:t>
            </w:r>
          </w:p>
        </w:tc>
        <w:tc>
          <w:tcPr>
            <w:tcW w:w="825" w:type="dxa"/>
          </w:tcPr>
          <w:p w14:paraId="3FC4F1B4" w14:textId="1C4F9181" w:rsidR="00E3756C" w:rsidRPr="00CE185F" w:rsidRDefault="00D13FF5" w:rsidP="00E3756C">
            <w:pPr>
              <w:jc w:val="center"/>
              <w:rPr>
                <w:rFonts w:ascii="Arial" w:hAnsi="Arial" w:cs="Arial"/>
                <w:sz w:val="16"/>
                <w:szCs w:val="16"/>
              </w:rPr>
            </w:pPr>
            <w:r w:rsidRPr="00CE185F">
              <w:rPr>
                <w:rFonts w:ascii="Arial" w:hAnsi="Arial" w:cs="Arial"/>
                <w:sz w:val="16"/>
                <w:szCs w:val="16"/>
              </w:rPr>
              <w:t>228.267</w:t>
            </w:r>
          </w:p>
        </w:tc>
        <w:tc>
          <w:tcPr>
            <w:tcW w:w="824" w:type="dxa"/>
          </w:tcPr>
          <w:p w14:paraId="017955AB" w14:textId="1A8CF32C" w:rsidR="00E3756C" w:rsidRPr="00CE185F" w:rsidRDefault="00E3756C" w:rsidP="00E3756C">
            <w:pPr>
              <w:jc w:val="center"/>
              <w:rPr>
                <w:rFonts w:ascii="Arial" w:hAnsi="Arial" w:cs="Arial"/>
                <w:sz w:val="16"/>
                <w:szCs w:val="16"/>
              </w:rPr>
            </w:pPr>
            <w:r w:rsidRPr="00CE185F">
              <w:rPr>
                <w:rFonts w:ascii="Arial" w:hAnsi="Arial" w:cs="Arial"/>
                <w:sz w:val="16"/>
                <w:szCs w:val="16"/>
              </w:rPr>
              <w:t>87.5</w:t>
            </w:r>
            <w:r w:rsidR="009C026D" w:rsidRPr="00CE185F">
              <w:rPr>
                <w:rFonts w:ascii="Arial" w:hAnsi="Arial" w:cs="Arial"/>
                <w:sz w:val="16"/>
                <w:szCs w:val="16"/>
              </w:rPr>
              <w:t>4</w:t>
            </w:r>
          </w:p>
        </w:tc>
      </w:tr>
      <w:tr w:rsidR="00E3756C" w:rsidRPr="000B0F49" w14:paraId="6BCA329E" w14:textId="77777777" w:rsidTr="001D341F">
        <w:tc>
          <w:tcPr>
            <w:tcW w:w="896" w:type="dxa"/>
          </w:tcPr>
          <w:p w14:paraId="5069579D" w14:textId="4B04FEDD" w:rsidR="00E3756C" w:rsidRPr="00CE185F" w:rsidRDefault="00E3756C" w:rsidP="00E3756C">
            <w:pPr>
              <w:jc w:val="center"/>
              <w:rPr>
                <w:rFonts w:ascii="Arial" w:hAnsi="Arial" w:cs="Arial"/>
                <w:sz w:val="16"/>
                <w:szCs w:val="16"/>
              </w:rPr>
            </w:pPr>
            <w:r w:rsidRPr="00CE185F">
              <w:rPr>
                <w:rFonts w:ascii="Arial" w:hAnsi="Arial" w:cs="Arial"/>
                <w:sz w:val="16"/>
                <w:szCs w:val="16"/>
              </w:rPr>
              <w:t>10+</w:t>
            </w:r>
          </w:p>
        </w:tc>
        <w:tc>
          <w:tcPr>
            <w:tcW w:w="1226" w:type="dxa"/>
          </w:tcPr>
          <w:p w14:paraId="745313A9" w14:textId="2FC191AE" w:rsidR="00E3756C" w:rsidRPr="00CE185F" w:rsidRDefault="0001085E" w:rsidP="00E3756C">
            <w:pPr>
              <w:jc w:val="center"/>
              <w:rPr>
                <w:rFonts w:ascii="Arial" w:hAnsi="Arial" w:cs="Arial"/>
                <w:sz w:val="16"/>
                <w:szCs w:val="16"/>
              </w:rPr>
            </w:pPr>
            <w:r w:rsidRPr="00CE185F">
              <w:rPr>
                <w:rFonts w:ascii="Arial" w:hAnsi="Arial" w:cs="Arial"/>
                <w:sz w:val="16"/>
                <w:szCs w:val="16"/>
              </w:rPr>
              <w:t>218.71</w:t>
            </w:r>
          </w:p>
        </w:tc>
        <w:tc>
          <w:tcPr>
            <w:tcW w:w="1134" w:type="dxa"/>
          </w:tcPr>
          <w:p w14:paraId="32263906" w14:textId="05E7DA9F" w:rsidR="00E3756C" w:rsidRPr="00CE185F" w:rsidRDefault="00580D92" w:rsidP="00E3756C">
            <w:pPr>
              <w:jc w:val="center"/>
              <w:rPr>
                <w:rFonts w:ascii="Arial" w:hAnsi="Arial" w:cs="Arial"/>
                <w:sz w:val="16"/>
                <w:szCs w:val="16"/>
              </w:rPr>
            </w:pPr>
            <w:r w:rsidRPr="00CE185F">
              <w:rPr>
                <w:rFonts w:ascii="Arial" w:hAnsi="Arial" w:cs="Arial"/>
                <w:sz w:val="16"/>
                <w:szCs w:val="16"/>
              </w:rPr>
              <w:t>42</w:t>
            </w:r>
          </w:p>
        </w:tc>
        <w:tc>
          <w:tcPr>
            <w:tcW w:w="1134" w:type="dxa"/>
          </w:tcPr>
          <w:p w14:paraId="7F66741E" w14:textId="5B7B4149" w:rsidR="00E3756C" w:rsidRPr="00CE185F" w:rsidRDefault="00E3756C" w:rsidP="00E3756C">
            <w:pPr>
              <w:jc w:val="center"/>
              <w:rPr>
                <w:rFonts w:ascii="Arial" w:hAnsi="Arial" w:cs="Arial"/>
                <w:sz w:val="16"/>
                <w:szCs w:val="16"/>
              </w:rPr>
            </w:pPr>
            <w:r w:rsidRPr="00CE185F">
              <w:rPr>
                <w:rFonts w:ascii="Arial" w:hAnsi="Arial" w:cs="Arial"/>
                <w:sz w:val="16"/>
                <w:szCs w:val="16"/>
              </w:rPr>
              <w:t>260.71</w:t>
            </w:r>
          </w:p>
        </w:tc>
        <w:tc>
          <w:tcPr>
            <w:tcW w:w="1134" w:type="dxa"/>
          </w:tcPr>
          <w:p w14:paraId="1881940B" w14:textId="438F44CB" w:rsidR="00E3756C" w:rsidRPr="00CE185F" w:rsidRDefault="00507F27" w:rsidP="00E3756C">
            <w:pPr>
              <w:jc w:val="center"/>
              <w:rPr>
                <w:rFonts w:ascii="Arial" w:hAnsi="Arial" w:cs="Arial"/>
                <w:sz w:val="16"/>
                <w:szCs w:val="16"/>
              </w:rPr>
            </w:pPr>
            <w:r w:rsidRPr="00CE185F">
              <w:rPr>
                <w:rFonts w:ascii="Arial" w:hAnsi="Arial" w:cs="Arial"/>
                <w:sz w:val="16"/>
                <w:szCs w:val="16"/>
              </w:rPr>
              <w:t>0.1920</w:t>
            </w:r>
          </w:p>
        </w:tc>
        <w:tc>
          <w:tcPr>
            <w:tcW w:w="1017" w:type="dxa"/>
          </w:tcPr>
          <w:p w14:paraId="3E192843" w14:textId="4CE55BCD" w:rsidR="00E3756C" w:rsidRPr="00CE185F" w:rsidRDefault="001B6B10" w:rsidP="00E3756C">
            <w:pPr>
              <w:jc w:val="center"/>
              <w:rPr>
                <w:rFonts w:ascii="Arial" w:hAnsi="Arial" w:cs="Arial"/>
                <w:sz w:val="16"/>
                <w:szCs w:val="16"/>
              </w:rPr>
            </w:pPr>
            <w:r w:rsidRPr="00CE185F">
              <w:rPr>
                <w:rFonts w:ascii="Arial" w:hAnsi="Arial" w:cs="Arial"/>
                <w:sz w:val="16"/>
                <w:szCs w:val="16"/>
              </w:rPr>
              <w:t>195</w:t>
            </w:r>
          </w:p>
        </w:tc>
        <w:tc>
          <w:tcPr>
            <w:tcW w:w="826" w:type="dxa"/>
          </w:tcPr>
          <w:p w14:paraId="662A6A01" w14:textId="26AA1844" w:rsidR="00E3756C" w:rsidRPr="00CE185F" w:rsidRDefault="00206281" w:rsidP="00E3756C">
            <w:pPr>
              <w:jc w:val="center"/>
              <w:rPr>
                <w:rFonts w:ascii="Arial" w:hAnsi="Arial" w:cs="Arial"/>
                <w:sz w:val="16"/>
                <w:szCs w:val="16"/>
              </w:rPr>
            </w:pPr>
            <w:r w:rsidRPr="00CE185F">
              <w:rPr>
                <w:rFonts w:ascii="Arial" w:hAnsi="Arial" w:cs="Arial"/>
                <w:sz w:val="16"/>
                <w:szCs w:val="16"/>
              </w:rPr>
              <w:t>37.44</w:t>
            </w:r>
          </w:p>
        </w:tc>
        <w:tc>
          <w:tcPr>
            <w:tcW w:w="825" w:type="dxa"/>
          </w:tcPr>
          <w:p w14:paraId="04319623" w14:textId="48CCE8A8" w:rsidR="00E3756C" w:rsidRPr="00CE185F" w:rsidRDefault="00D13FF5" w:rsidP="00E3756C">
            <w:pPr>
              <w:jc w:val="center"/>
              <w:rPr>
                <w:rFonts w:ascii="Arial" w:hAnsi="Arial" w:cs="Arial"/>
                <w:sz w:val="16"/>
                <w:szCs w:val="16"/>
              </w:rPr>
            </w:pPr>
            <w:r w:rsidRPr="00CE185F">
              <w:rPr>
                <w:rFonts w:ascii="Arial" w:hAnsi="Arial" w:cs="Arial"/>
                <w:sz w:val="16"/>
                <w:szCs w:val="16"/>
              </w:rPr>
              <w:t>232.44</w:t>
            </w:r>
          </w:p>
        </w:tc>
        <w:tc>
          <w:tcPr>
            <w:tcW w:w="824" w:type="dxa"/>
          </w:tcPr>
          <w:p w14:paraId="7D597429" w14:textId="09DC2CA3" w:rsidR="00E3756C" w:rsidRPr="00CE185F" w:rsidRDefault="00E3756C" w:rsidP="00E3756C">
            <w:pPr>
              <w:jc w:val="center"/>
              <w:rPr>
                <w:rFonts w:ascii="Arial" w:hAnsi="Arial" w:cs="Arial"/>
                <w:sz w:val="16"/>
                <w:szCs w:val="16"/>
              </w:rPr>
            </w:pPr>
            <w:r w:rsidRPr="00CE185F">
              <w:rPr>
                <w:rFonts w:ascii="Arial" w:hAnsi="Arial" w:cs="Arial"/>
                <w:sz w:val="16"/>
                <w:szCs w:val="16"/>
              </w:rPr>
              <w:t>89.1</w:t>
            </w:r>
            <w:r w:rsidR="009C026D" w:rsidRPr="00CE185F">
              <w:rPr>
                <w:rFonts w:ascii="Arial" w:hAnsi="Arial" w:cs="Arial"/>
                <w:sz w:val="16"/>
                <w:szCs w:val="16"/>
              </w:rPr>
              <w:t>4</w:t>
            </w:r>
          </w:p>
        </w:tc>
      </w:tr>
    </w:tbl>
    <w:p w14:paraId="63747EB2" w14:textId="3888A921" w:rsidR="00E06AAE" w:rsidRPr="000B0F49" w:rsidRDefault="00E06AAE" w:rsidP="00C202BE">
      <w:pPr>
        <w:jc w:val="center"/>
        <w:rPr>
          <w:rFonts w:ascii="Arial" w:hAnsi="Arial" w:cs="Arial"/>
          <w:sz w:val="20"/>
          <w:szCs w:val="20"/>
        </w:rPr>
      </w:pPr>
    </w:p>
    <w:sectPr w:rsidR="00E06AAE" w:rsidRPr="000B0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865C4"/>
    <w:multiLevelType w:val="hybridMultilevel"/>
    <w:tmpl w:val="BB6A6490"/>
    <w:lvl w:ilvl="0" w:tplc="BFE66B0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60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17"/>
    <w:rsid w:val="0001085E"/>
    <w:rsid w:val="000262A7"/>
    <w:rsid w:val="00032E39"/>
    <w:rsid w:val="00061887"/>
    <w:rsid w:val="00080BF8"/>
    <w:rsid w:val="00082AD5"/>
    <w:rsid w:val="00094E10"/>
    <w:rsid w:val="000A0A93"/>
    <w:rsid w:val="000B0F49"/>
    <w:rsid w:val="000E1939"/>
    <w:rsid w:val="000E3D51"/>
    <w:rsid w:val="0010092C"/>
    <w:rsid w:val="00113302"/>
    <w:rsid w:val="00121CAF"/>
    <w:rsid w:val="001921E8"/>
    <w:rsid w:val="00194DAE"/>
    <w:rsid w:val="001B6B10"/>
    <w:rsid w:val="001D341F"/>
    <w:rsid w:val="00206281"/>
    <w:rsid w:val="00210150"/>
    <w:rsid w:val="00217DB7"/>
    <w:rsid w:val="0022641A"/>
    <w:rsid w:val="00275B6E"/>
    <w:rsid w:val="002A74AB"/>
    <w:rsid w:val="002A7536"/>
    <w:rsid w:val="002E1E37"/>
    <w:rsid w:val="002E6CA1"/>
    <w:rsid w:val="002F5CF5"/>
    <w:rsid w:val="002F7BD2"/>
    <w:rsid w:val="0030490D"/>
    <w:rsid w:val="00356007"/>
    <w:rsid w:val="00357E4B"/>
    <w:rsid w:val="003734E2"/>
    <w:rsid w:val="003B70CF"/>
    <w:rsid w:val="003E557E"/>
    <w:rsid w:val="003E7BDD"/>
    <w:rsid w:val="00400E37"/>
    <w:rsid w:val="00413493"/>
    <w:rsid w:val="0046167E"/>
    <w:rsid w:val="00474481"/>
    <w:rsid w:val="004A31EE"/>
    <w:rsid w:val="004E2F30"/>
    <w:rsid w:val="004F11B9"/>
    <w:rsid w:val="004F4956"/>
    <w:rsid w:val="00507F27"/>
    <w:rsid w:val="005710BF"/>
    <w:rsid w:val="00580D92"/>
    <w:rsid w:val="005C0320"/>
    <w:rsid w:val="005F2D7F"/>
    <w:rsid w:val="0065118D"/>
    <w:rsid w:val="006536D0"/>
    <w:rsid w:val="00662FBF"/>
    <w:rsid w:val="00665B40"/>
    <w:rsid w:val="00671FB9"/>
    <w:rsid w:val="007058F7"/>
    <w:rsid w:val="00733947"/>
    <w:rsid w:val="00785D7D"/>
    <w:rsid w:val="007E26D9"/>
    <w:rsid w:val="007E4B3B"/>
    <w:rsid w:val="007F1A37"/>
    <w:rsid w:val="008560E0"/>
    <w:rsid w:val="00884C57"/>
    <w:rsid w:val="0089642F"/>
    <w:rsid w:val="008C0DFD"/>
    <w:rsid w:val="008C7C83"/>
    <w:rsid w:val="00917248"/>
    <w:rsid w:val="009235BE"/>
    <w:rsid w:val="00932197"/>
    <w:rsid w:val="00991127"/>
    <w:rsid w:val="009914B0"/>
    <w:rsid w:val="00992EE7"/>
    <w:rsid w:val="009C026D"/>
    <w:rsid w:val="009F4E35"/>
    <w:rsid w:val="00A54B60"/>
    <w:rsid w:val="00A60322"/>
    <w:rsid w:val="00A61A17"/>
    <w:rsid w:val="00A80436"/>
    <w:rsid w:val="00A97700"/>
    <w:rsid w:val="00AB51F7"/>
    <w:rsid w:val="00AD1965"/>
    <w:rsid w:val="00AD46DB"/>
    <w:rsid w:val="00AD53FF"/>
    <w:rsid w:val="00B019EC"/>
    <w:rsid w:val="00B04931"/>
    <w:rsid w:val="00B63A06"/>
    <w:rsid w:val="00B96DC6"/>
    <w:rsid w:val="00BB08DA"/>
    <w:rsid w:val="00BF722B"/>
    <w:rsid w:val="00C202BE"/>
    <w:rsid w:val="00C309AF"/>
    <w:rsid w:val="00C63E34"/>
    <w:rsid w:val="00C900A8"/>
    <w:rsid w:val="00CC62F1"/>
    <w:rsid w:val="00CE185F"/>
    <w:rsid w:val="00CF6B0D"/>
    <w:rsid w:val="00D13FF5"/>
    <w:rsid w:val="00DA5312"/>
    <w:rsid w:val="00DB7949"/>
    <w:rsid w:val="00DE4617"/>
    <w:rsid w:val="00E06AAE"/>
    <w:rsid w:val="00E3756C"/>
    <w:rsid w:val="00E6053E"/>
    <w:rsid w:val="00E84CBB"/>
    <w:rsid w:val="00E91B74"/>
    <w:rsid w:val="00EB3A8D"/>
    <w:rsid w:val="00EF4883"/>
    <w:rsid w:val="00F06D66"/>
    <w:rsid w:val="00F22D50"/>
    <w:rsid w:val="00F3391C"/>
    <w:rsid w:val="00FE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F4DB"/>
  <w15:chartTrackingRefBased/>
  <w15:docId w15:val="{3E7516C6-9085-4F80-AAD3-180222CA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E34"/>
    <w:pPr>
      <w:ind w:left="720"/>
      <w:contextualSpacing/>
    </w:pPr>
  </w:style>
  <w:style w:type="character" w:styleId="CommentReference">
    <w:name w:val="annotation reference"/>
    <w:basedOn w:val="DefaultParagraphFont"/>
    <w:uiPriority w:val="99"/>
    <w:semiHidden/>
    <w:unhideWhenUsed/>
    <w:rsid w:val="00357E4B"/>
    <w:rPr>
      <w:sz w:val="16"/>
      <w:szCs w:val="16"/>
    </w:rPr>
  </w:style>
  <w:style w:type="paragraph" w:styleId="CommentText">
    <w:name w:val="annotation text"/>
    <w:basedOn w:val="Normal"/>
    <w:link w:val="CommentTextChar"/>
    <w:uiPriority w:val="99"/>
    <w:semiHidden/>
    <w:unhideWhenUsed/>
    <w:rsid w:val="00357E4B"/>
    <w:pPr>
      <w:spacing w:line="240" w:lineRule="auto"/>
    </w:pPr>
    <w:rPr>
      <w:sz w:val="20"/>
      <w:szCs w:val="20"/>
    </w:rPr>
  </w:style>
  <w:style w:type="character" w:customStyle="1" w:styleId="CommentTextChar">
    <w:name w:val="Comment Text Char"/>
    <w:basedOn w:val="DefaultParagraphFont"/>
    <w:link w:val="CommentText"/>
    <w:uiPriority w:val="99"/>
    <w:semiHidden/>
    <w:rsid w:val="00357E4B"/>
    <w:rPr>
      <w:sz w:val="20"/>
      <w:szCs w:val="20"/>
    </w:rPr>
  </w:style>
  <w:style w:type="paragraph" w:styleId="CommentSubject">
    <w:name w:val="annotation subject"/>
    <w:basedOn w:val="CommentText"/>
    <w:next w:val="CommentText"/>
    <w:link w:val="CommentSubjectChar"/>
    <w:uiPriority w:val="99"/>
    <w:semiHidden/>
    <w:unhideWhenUsed/>
    <w:rsid w:val="00357E4B"/>
    <w:rPr>
      <w:b/>
      <w:bCs/>
    </w:rPr>
  </w:style>
  <w:style w:type="character" w:customStyle="1" w:styleId="CommentSubjectChar">
    <w:name w:val="Comment Subject Char"/>
    <w:basedOn w:val="CommentTextChar"/>
    <w:link w:val="CommentSubject"/>
    <w:uiPriority w:val="99"/>
    <w:semiHidden/>
    <w:rsid w:val="00357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9F2A68AC6114EAA1DCE772F8F2827" ma:contentTypeVersion="16" ma:contentTypeDescription="Create a new document." ma:contentTypeScope="" ma:versionID="e8eb06ade9c31700de09842413a2b7a1">
  <xsd:schema xmlns:xsd="http://www.w3.org/2001/XMLSchema" xmlns:xs="http://www.w3.org/2001/XMLSchema" xmlns:p="http://schemas.microsoft.com/office/2006/metadata/properties" xmlns:ns2="5d8f534a-a04b-48c6-ad3e-75741fc92c09" xmlns:ns3="6dd9d7d3-2a39-4bfc-b752-86907ca48670" targetNamespace="http://schemas.microsoft.com/office/2006/metadata/properties" ma:root="true" ma:fieldsID="aa259b07c11cdfa0bf45196c1e818b43" ns2:_="" ns3:_="">
    <xsd:import namespace="5d8f534a-a04b-48c6-ad3e-75741fc92c09"/>
    <xsd:import namespace="6dd9d7d3-2a39-4bfc-b752-86907ca486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f534a-a04b-48c6-ad3e-75741fc9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9f334ec-5907-4406-9c20-eeaa5f585b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9d7d3-2a39-4bfc-b752-86907ca48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383f78-dd98-4734-9662-99604de097e7}" ma:internalName="TaxCatchAll" ma:showField="CatchAllData" ma:web="6dd9d7d3-2a39-4bfc-b752-86907ca48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d9d7d3-2a39-4bfc-b752-86907ca48670" xsi:nil="true"/>
    <lcf76f155ced4ddcb4097134ff3c332f xmlns="5d8f534a-a04b-48c6-ad3e-75741fc92c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C55860-64E8-4982-B0DC-1E8C5603D31D}"/>
</file>

<file path=customXml/itemProps2.xml><?xml version="1.0" encoding="utf-8"?>
<ds:datastoreItem xmlns:ds="http://schemas.openxmlformats.org/officeDocument/2006/customXml" ds:itemID="{2A501D25-139A-43F5-BEA6-804D9531CFEF}"/>
</file>

<file path=customXml/itemProps3.xml><?xml version="1.0" encoding="utf-8"?>
<ds:datastoreItem xmlns:ds="http://schemas.openxmlformats.org/officeDocument/2006/customXml" ds:itemID="{DE72B94C-3618-4DEA-A2AE-DB0803541A69}"/>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Andrew Davies</cp:lastModifiedBy>
  <cp:revision>2</cp:revision>
  <dcterms:created xsi:type="dcterms:W3CDTF">2023-04-19T10:04:00Z</dcterms:created>
  <dcterms:modified xsi:type="dcterms:W3CDTF">2023-04-19T10:04:00Z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0x0101006CF9F2A68AC6114EAA1DCE772F8F2827</vt:lpwstr>
  </property>
</Properties>
</file>