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0B4B" w14:textId="77777777" w:rsidR="005F3EA1" w:rsidRPr="005F3EA1" w:rsidRDefault="005F3EA1" w:rsidP="005F3EA1">
      <w:pPr>
        <w:rPr>
          <w:rFonts w:ascii="Arial" w:hAnsi="Arial" w:cs="Arial"/>
          <w:b/>
          <w:sz w:val="24"/>
          <w:szCs w:val="24"/>
        </w:rPr>
      </w:pPr>
      <w:r w:rsidRPr="005F3EA1">
        <w:rPr>
          <w:rFonts w:ascii="Arial" w:hAnsi="Arial" w:cs="Arial"/>
          <w:b/>
          <w:sz w:val="24"/>
          <w:szCs w:val="24"/>
        </w:rPr>
        <w:t>Protocol to address increases in mileage reimbursement costs ahead of changes in the AMAP rate.</w:t>
      </w:r>
    </w:p>
    <w:p w14:paraId="3EE43854" w14:textId="77777777" w:rsidR="005F3EA1" w:rsidRPr="005F3EA1" w:rsidRDefault="005F3EA1" w:rsidP="005F3EA1">
      <w:pPr>
        <w:rPr>
          <w:rFonts w:ascii="Arial" w:hAnsi="Arial" w:cs="Arial"/>
        </w:rPr>
      </w:pPr>
      <w:r>
        <w:rPr>
          <w:rFonts w:ascii="Arial" w:hAnsi="Arial" w:cs="Arial"/>
        </w:rPr>
        <w:t>Fuel costs are volatile and subject to rapid increases subject to the global price of oil. Increases in the costs of reimbursement of fuel for NHS staff are subject to published rates either through the HMRC AMAP arrangements</w:t>
      </w:r>
      <w:r w:rsidR="00A31E52">
        <w:rPr>
          <w:rFonts w:ascii="Arial" w:hAnsi="Arial" w:cs="Arial"/>
        </w:rPr>
        <w:t>,</w:t>
      </w:r>
      <w:r>
        <w:rPr>
          <w:rFonts w:ascii="Arial" w:hAnsi="Arial" w:cs="Arial"/>
        </w:rPr>
        <w:t xml:space="preserve"> which provide a ceiling for reimbursement without incurring tax or NI payments</w:t>
      </w:r>
      <w:r w:rsidR="00A31E52">
        <w:rPr>
          <w:rFonts w:ascii="Arial" w:hAnsi="Arial" w:cs="Arial"/>
        </w:rPr>
        <w:t>,</w:t>
      </w:r>
      <w:r>
        <w:rPr>
          <w:rFonts w:ascii="Arial" w:hAnsi="Arial" w:cs="Arial"/>
        </w:rPr>
        <w:t xml:space="preserve"> and through the publication of rates in M&amp;D pay circulars. The AMAP rate in particular is reviewed twice each year and therefore the assessment of these rates often lags any “spike” in fuel prices</w:t>
      </w:r>
      <w:r w:rsidR="007D30B6">
        <w:rPr>
          <w:rFonts w:ascii="Arial" w:hAnsi="Arial" w:cs="Arial"/>
        </w:rPr>
        <w:t xml:space="preserve">, accordingly this protocol sets how and in what circumstances a temporary </w:t>
      </w:r>
      <w:r w:rsidRPr="005F3EA1">
        <w:rPr>
          <w:rFonts w:ascii="Arial" w:hAnsi="Arial" w:cs="Arial"/>
        </w:rPr>
        <w:t xml:space="preserve">increase in the rate of reimbursement for mileage expenses </w:t>
      </w:r>
      <w:r w:rsidR="007D30B6">
        <w:rPr>
          <w:rFonts w:ascii="Arial" w:hAnsi="Arial" w:cs="Arial"/>
        </w:rPr>
        <w:t xml:space="preserve">will </w:t>
      </w:r>
      <w:r w:rsidRPr="005F3EA1">
        <w:rPr>
          <w:rFonts w:ascii="Arial" w:hAnsi="Arial" w:cs="Arial"/>
        </w:rPr>
        <w:t xml:space="preserve">be applied where the AMAP </w:t>
      </w:r>
      <w:r w:rsidR="007D30B6">
        <w:rPr>
          <w:rFonts w:ascii="Arial" w:hAnsi="Arial" w:cs="Arial"/>
        </w:rPr>
        <w:t xml:space="preserve">or M&amp;D rates </w:t>
      </w:r>
      <w:r w:rsidRPr="005F3EA1">
        <w:rPr>
          <w:rFonts w:ascii="Arial" w:hAnsi="Arial" w:cs="Arial"/>
        </w:rPr>
        <w:t xml:space="preserve">of reimbursement </w:t>
      </w:r>
      <w:r w:rsidR="007D30B6">
        <w:rPr>
          <w:rFonts w:ascii="Arial" w:hAnsi="Arial" w:cs="Arial"/>
        </w:rPr>
        <w:t xml:space="preserve">are </w:t>
      </w:r>
      <w:r w:rsidRPr="005F3EA1">
        <w:rPr>
          <w:rFonts w:ascii="Arial" w:hAnsi="Arial" w:cs="Arial"/>
        </w:rPr>
        <w:t>deemed to be out of step with costs being incurred by NHS staff.</w:t>
      </w:r>
    </w:p>
    <w:p w14:paraId="5451C090" w14:textId="77777777" w:rsidR="005F3EA1" w:rsidRPr="005F3EA1" w:rsidRDefault="007D30B6" w:rsidP="005F3EA1">
      <w:pPr>
        <w:rPr>
          <w:rFonts w:ascii="Arial" w:hAnsi="Arial" w:cs="Arial"/>
        </w:rPr>
      </w:pPr>
      <w:r>
        <w:rPr>
          <w:rFonts w:ascii="Arial" w:hAnsi="Arial" w:cs="Arial"/>
        </w:rPr>
        <w:t>I</w:t>
      </w:r>
      <w:r w:rsidR="005F3EA1" w:rsidRPr="005F3EA1">
        <w:rPr>
          <w:rFonts w:ascii="Arial" w:hAnsi="Arial" w:cs="Arial"/>
        </w:rPr>
        <w:t xml:space="preserve">t is important to </w:t>
      </w:r>
      <w:r>
        <w:rPr>
          <w:rFonts w:ascii="Arial" w:hAnsi="Arial" w:cs="Arial"/>
        </w:rPr>
        <w:t xml:space="preserve">note </w:t>
      </w:r>
      <w:r w:rsidR="005F3EA1" w:rsidRPr="005F3EA1">
        <w:rPr>
          <w:rFonts w:ascii="Arial" w:hAnsi="Arial" w:cs="Arial"/>
        </w:rPr>
        <w:t xml:space="preserve">that the agreed rate of reimbursement is the AMAP </w:t>
      </w:r>
      <w:r>
        <w:rPr>
          <w:rFonts w:ascii="Arial" w:hAnsi="Arial" w:cs="Arial"/>
        </w:rPr>
        <w:t xml:space="preserve">or published M&amp;D rates </w:t>
      </w:r>
      <w:r w:rsidR="005F3EA1" w:rsidRPr="005F3EA1">
        <w:rPr>
          <w:rFonts w:ascii="Arial" w:hAnsi="Arial" w:cs="Arial"/>
        </w:rPr>
        <w:t xml:space="preserve">and that </w:t>
      </w:r>
      <w:r>
        <w:rPr>
          <w:rFonts w:ascii="Arial" w:hAnsi="Arial" w:cs="Arial"/>
        </w:rPr>
        <w:t xml:space="preserve">this protocol is in place to </w:t>
      </w:r>
      <w:r w:rsidR="005F3EA1" w:rsidRPr="005F3EA1">
        <w:rPr>
          <w:rFonts w:ascii="Arial" w:hAnsi="Arial" w:cs="Arial"/>
        </w:rPr>
        <w:t xml:space="preserve">address </w:t>
      </w:r>
      <w:r>
        <w:rPr>
          <w:rFonts w:ascii="Arial" w:hAnsi="Arial" w:cs="Arial"/>
        </w:rPr>
        <w:t>any short term v</w:t>
      </w:r>
      <w:r w:rsidR="005F3EA1" w:rsidRPr="005F3EA1">
        <w:rPr>
          <w:rFonts w:ascii="Arial" w:hAnsi="Arial" w:cs="Arial"/>
        </w:rPr>
        <w:t xml:space="preserve">olatility in the price of fuel and accordingly </w:t>
      </w:r>
      <w:r>
        <w:rPr>
          <w:rFonts w:ascii="Arial" w:hAnsi="Arial" w:cs="Arial"/>
        </w:rPr>
        <w:t xml:space="preserve">is set to cover </w:t>
      </w:r>
      <w:r w:rsidR="005F3EA1" w:rsidRPr="005F3EA1">
        <w:rPr>
          <w:rFonts w:ascii="Arial" w:hAnsi="Arial" w:cs="Arial"/>
        </w:rPr>
        <w:t xml:space="preserve">the marginal increase in costs being incurred </w:t>
      </w:r>
      <w:r>
        <w:rPr>
          <w:rFonts w:ascii="Arial" w:hAnsi="Arial" w:cs="Arial"/>
        </w:rPr>
        <w:t xml:space="preserve">by NHS staff </w:t>
      </w:r>
      <w:r w:rsidR="005F3EA1" w:rsidRPr="005F3EA1">
        <w:rPr>
          <w:rFonts w:ascii="Arial" w:hAnsi="Arial" w:cs="Arial"/>
        </w:rPr>
        <w:t xml:space="preserve">until such time as the AMAP </w:t>
      </w:r>
      <w:r>
        <w:rPr>
          <w:rFonts w:ascii="Arial" w:hAnsi="Arial" w:cs="Arial"/>
        </w:rPr>
        <w:t xml:space="preserve">or M&amp;D </w:t>
      </w:r>
      <w:r w:rsidR="005F3EA1" w:rsidRPr="005F3EA1">
        <w:rPr>
          <w:rFonts w:ascii="Arial" w:hAnsi="Arial" w:cs="Arial"/>
        </w:rPr>
        <w:t>rate</w:t>
      </w:r>
      <w:r>
        <w:rPr>
          <w:rFonts w:ascii="Arial" w:hAnsi="Arial" w:cs="Arial"/>
        </w:rPr>
        <w:t>s</w:t>
      </w:r>
      <w:r w:rsidR="005F3EA1" w:rsidRPr="005F3EA1">
        <w:rPr>
          <w:rFonts w:ascii="Arial" w:hAnsi="Arial" w:cs="Arial"/>
        </w:rPr>
        <w:t xml:space="preserve"> reflect any sustained increase in the price of fuel. </w:t>
      </w:r>
    </w:p>
    <w:p w14:paraId="5F552A2E" w14:textId="77777777" w:rsidR="005F3EA1" w:rsidRPr="005F3EA1" w:rsidRDefault="007D30B6" w:rsidP="005F3EA1">
      <w:pPr>
        <w:rPr>
          <w:rFonts w:ascii="Arial" w:hAnsi="Arial" w:cs="Arial"/>
        </w:rPr>
      </w:pPr>
      <w:r>
        <w:rPr>
          <w:rFonts w:ascii="Arial" w:hAnsi="Arial" w:cs="Arial"/>
        </w:rPr>
        <w:t>The protocol addresses:</w:t>
      </w:r>
      <w:r w:rsidR="005F3EA1" w:rsidRPr="005F3EA1">
        <w:rPr>
          <w:rFonts w:ascii="Arial" w:hAnsi="Arial" w:cs="Arial"/>
        </w:rPr>
        <w:t> </w:t>
      </w:r>
    </w:p>
    <w:p w14:paraId="614006B1" w14:textId="77777777" w:rsidR="005F3EA1" w:rsidRPr="005F3EA1" w:rsidRDefault="005F3EA1" w:rsidP="005F3EA1">
      <w:pPr>
        <w:numPr>
          <w:ilvl w:val="0"/>
          <w:numId w:val="1"/>
        </w:numPr>
        <w:rPr>
          <w:rFonts w:ascii="Arial" w:hAnsi="Arial" w:cs="Arial"/>
        </w:rPr>
      </w:pPr>
      <w:r w:rsidRPr="005F3EA1">
        <w:rPr>
          <w:rFonts w:ascii="Arial" w:hAnsi="Arial" w:cs="Arial"/>
        </w:rPr>
        <w:t xml:space="preserve">The threshold at which an increase would come into force </w:t>
      </w:r>
      <w:proofErr w:type="gramStart"/>
      <w:r w:rsidRPr="005F3EA1">
        <w:rPr>
          <w:rFonts w:ascii="Arial" w:hAnsi="Arial" w:cs="Arial"/>
        </w:rPr>
        <w:t>i.e.</w:t>
      </w:r>
      <w:proofErr w:type="gramEnd"/>
      <w:r w:rsidRPr="005F3EA1">
        <w:rPr>
          <w:rFonts w:ascii="Arial" w:hAnsi="Arial" w:cs="Arial"/>
        </w:rPr>
        <w:t xml:space="preserve"> what </w:t>
      </w:r>
      <w:r w:rsidR="00A31E52">
        <w:rPr>
          <w:rFonts w:ascii="Arial" w:hAnsi="Arial" w:cs="Arial"/>
        </w:rPr>
        <w:t>cost per mile</w:t>
      </w:r>
      <w:r w:rsidRPr="005F3EA1">
        <w:rPr>
          <w:rFonts w:ascii="Arial" w:hAnsi="Arial" w:cs="Arial"/>
        </w:rPr>
        <w:t xml:space="preserve"> would trigger an increase based on the </w:t>
      </w:r>
      <w:r w:rsidR="007D30B6">
        <w:rPr>
          <w:rFonts w:ascii="Arial" w:hAnsi="Arial" w:cs="Arial"/>
        </w:rPr>
        <w:t xml:space="preserve">published </w:t>
      </w:r>
      <w:r w:rsidRPr="005F3EA1">
        <w:rPr>
          <w:rFonts w:ascii="Arial" w:hAnsi="Arial" w:cs="Arial"/>
        </w:rPr>
        <w:t>AMAP rates</w:t>
      </w:r>
      <w:r w:rsidR="007D30B6">
        <w:rPr>
          <w:rFonts w:ascii="Arial" w:hAnsi="Arial" w:cs="Arial"/>
        </w:rPr>
        <w:t xml:space="preserve"> as at April 2022</w:t>
      </w:r>
      <w:r w:rsidRPr="005F3EA1">
        <w:rPr>
          <w:rFonts w:ascii="Arial" w:hAnsi="Arial" w:cs="Arial"/>
        </w:rPr>
        <w:t>.</w:t>
      </w:r>
    </w:p>
    <w:p w14:paraId="704DA84A" w14:textId="77777777" w:rsidR="005F3EA1" w:rsidRPr="005F3EA1" w:rsidRDefault="005F3EA1" w:rsidP="005F3EA1">
      <w:pPr>
        <w:numPr>
          <w:ilvl w:val="0"/>
          <w:numId w:val="1"/>
        </w:numPr>
        <w:rPr>
          <w:rFonts w:ascii="Arial" w:hAnsi="Arial" w:cs="Arial"/>
        </w:rPr>
      </w:pPr>
      <w:r w:rsidRPr="005F3EA1">
        <w:rPr>
          <w:rFonts w:ascii="Arial" w:hAnsi="Arial" w:cs="Arial"/>
        </w:rPr>
        <w:t xml:space="preserve">The </w:t>
      </w:r>
      <w:r w:rsidR="00A31E52">
        <w:rPr>
          <w:rFonts w:ascii="Arial" w:hAnsi="Arial" w:cs="Arial"/>
        </w:rPr>
        <w:t>independent reference point to guide the decision making</w:t>
      </w:r>
    </w:p>
    <w:p w14:paraId="6E3DFF9D" w14:textId="77777777" w:rsidR="005F3EA1" w:rsidRPr="005F3EA1" w:rsidRDefault="005F3EA1" w:rsidP="005F3EA1">
      <w:pPr>
        <w:numPr>
          <w:ilvl w:val="0"/>
          <w:numId w:val="1"/>
        </w:numPr>
        <w:rPr>
          <w:rFonts w:ascii="Arial" w:hAnsi="Arial" w:cs="Arial"/>
        </w:rPr>
      </w:pPr>
      <w:r w:rsidRPr="005F3EA1">
        <w:rPr>
          <w:rFonts w:ascii="Arial" w:hAnsi="Arial" w:cs="Arial"/>
        </w:rPr>
        <w:t xml:space="preserve">The </w:t>
      </w:r>
      <w:r w:rsidR="00A31E52">
        <w:rPr>
          <w:rFonts w:ascii="Arial" w:hAnsi="Arial" w:cs="Arial"/>
        </w:rPr>
        <w:t xml:space="preserve">point at which </w:t>
      </w:r>
      <w:r w:rsidRPr="005F3EA1">
        <w:rPr>
          <w:rFonts w:ascii="Arial" w:hAnsi="Arial" w:cs="Arial"/>
        </w:rPr>
        <w:t xml:space="preserve">the threshold would need to be breached </w:t>
      </w:r>
      <w:r w:rsidR="00A31E52">
        <w:rPr>
          <w:rFonts w:ascii="Arial" w:hAnsi="Arial" w:cs="Arial"/>
        </w:rPr>
        <w:t xml:space="preserve">to trigger an </w:t>
      </w:r>
      <w:r w:rsidRPr="005F3EA1">
        <w:rPr>
          <w:rFonts w:ascii="Arial" w:hAnsi="Arial" w:cs="Arial"/>
        </w:rPr>
        <w:t xml:space="preserve">increase or </w:t>
      </w:r>
      <w:r w:rsidR="00A31E52">
        <w:rPr>
          <w:rFonts w:ascii="Arial" w:hAnsi="Arial" w:cs="Arial"/>
        </w:rPr>
        <w:t xml:space="preserve">the point at which it would be </w:t>
      </w:r>
      <w:r w:rsidRPr="005F3EA1">
        <w:rPr>
          <w:rFonts w:ascii="Arial" w:hAnsi="Arial" w:cs="Arial"/>
        </w:rPr>
        <w:t>removed</w:t>
      </w:r>
    </w:p>
    <w:p w14:paraId="5B84170E" w14:textId="77777777" w:rsidR="005F3EA1" w:rsidRPr="005F3EA1" w:rsidRDefault="007D30B6" w:rsidP="005F3EA1">
      <w:pPr>
        <w:rPr>
          <w:rFonts w:ascii="Arial" w:hAnsi="Arial" w:cs="Arial"/>
        </w:rPr>
      </w:pPr>
      <w:r>
        <w:rPr>
          <w:rFonts w:ascii="Arial" w:hAnsi="Arial" w:cs="Arial"/>
        </w:rPr>
        <w:t xml:space="preserve">To achieve a practical and proportionate step change in reimbursement the approach </w:t>
      </w:r>
      <w:r w:rsidR="00A31E52">
        <w:rPr>
          <w:rFonts w:ascii="Arial" w:hAnsi="Arial" w:cs="Arial"/>
        </w:rPr>
        <w:t xml:space="preserve">will use </w:t>
      </w:r>
      <w:r>
        <w:rPr>
          <w:rFonts w:ascii="Arial" w:hAnsi="Arial" w:cs="Arial"/>
        </w:rPr>
        <w:t xml:space="preserve">a </w:t>
      </w:r>
      <w:r w:rsidR="005F3EA1" w:rsidRPr="005F3EA1">
        <w:rPr>
          <w:rFonts w:ascii="Arial" w:hAnsi="Arial" w:cs="Arial"/>
        </w:rPr>
        <w:t>broad banding for</w:t>
      </w:r>
      <w:r>
        <w:rPr>
          <w:rFonts w:ascii="Arial" w:hAnsi="Arial" w:cs="Arial"/>
        </w:rPr>
        <w:t xml:space="preserve"> any </w:t>
      </w:r>
      <w:r w:rsidR="005F3EA1" w:rsidRPr="005F3EA1">
        <w:rPr>
          <w:rFonts w:ascii="Arial" w:hAnsi="Arial" w:cs="Arial"/>
        </w:rPr>
        <w:t xml:space="preserve">increase rather than incremental increases and </w:t>
      </w:r>
      <w:r>
        <w:rPr>
          <w:rFonts w:ascii="Arial" w:hAnsi="Arial" w:cs="Arial"/>
        </w:rPr>
        <w:t>a</w:t>
      </w:r>
      <w:r w:rsidR="005F3EA1" w:rsidRPr="005F3EA1">
        <w:rPr>
          <w:rFonts w:ascii="Arial" w:hAnsi="Arial" w:cs="Arial"/>
        </w:rPr>
        <w:t xml:space="preserve"> 5 pence per mile increase (before tax and NI) </w:t>
      </w:r>
      <w:r>
        <w:rPr>
          <w:rFonts w:ascii="Arial" w:hAnsi="Arial" w:cs="Arial"/>
        </w:rPr>
        <w:t xml:space="preserve">is </w:t>
      </w:r>
      <w:r w:rsidR="005F3EA1" w:rsidRPr="005F3EA1">
        <w:rPr>
          <w:rFonts w:ascii="Arial" w:hAnsi="Arial" w:cs="Arial"/>
        </w:rPr>
        <w:t xml:space="preserve">the basis for </w:t>
      </w:r>
      <w:r>
        <w:rPr>
          <w:rFonts w:ascii="Arial" w:hAnsi="Arial" w:cs="Arial"/>
        </w:rPr>
        <w:t xml:space="preserve">any applied increase. </w:t>
      </w:r>
    </w:p>
    <w:p w14:paraId="75755903" w14:textId="77777777" w:rsidR="00C81536" w:rsidRDefault="004C7516" w:rsidP="005F3EA1">
      <w:pPr>
        <w:rPr>
          <w:rFonts w:ascii="Arial" w:hAnsi="Arial" w:cs="Arial"/>
        </w:rPr>
      </w:pPr>
      <w:r>
        <w:rPr>
          <w:rFonts w:ascii="Arial" w:hAnsi="Arial" w:cs="Arial"/>
        </w:rPr>
        <w:t xml:space="preserve">The </w:t>
      </w:r>
      <w:hyperlink r:id="rId5" w:history="1">
        <w:r w:rsidRPr="004C7516">
          <w:rPr>
            <w:rStyle w:val="Hyperlink"/>
            <w:rFonts w:ascii="Arial" w:hAnsi="Arial" w:cs="Arial"/>
          </w:rPr>
          <w:t>HMRC Advisory Fuel Rates assessment</w:t>
        </w:r>
      </w:hyperlink>
      <w:r>
        <w:rPr>
          <w:rFonts w:ascii="Arial" w:hAnsi="Arial" w:cs="Arial"/>
        </w:rPr>
        <w:t xml:space="preserve"> will be used to dete</w:t>
      </w:r>
      <w:r w:rsidR="00A87A1B">
        <w:rPr>
          <w:rFonts w:ascii="Arial" w:hAnsi="Arial" w:cs="Arial"/>
        </w:rPr>
        <w:t>rmine the rate of reimburse</w:t>
      </w:r>
      <w:r w:rsidR="005E2E92">
        <w:rPr>
          <w:rFonts w:ascii="Arial" w:hAnsi="Arial" w:cs="Arial"/>
        </w:rPr>
        <w:t xml:space="preserve">ment. </w:t>
      </w:r>
      <w:r w:rsidR="00C67733">
        <w:rPr>
          <w:rFonts w:ascii="Arial" w:hAnsi="Arial" w:cs="Arial"/>
        </w:rPr>
        <w:t xml:space="preserve">Note - these rates are different from the AMAP published rates but are being used in this context as an objective measure for determining the rate of increase in </w:t>
      </w:r>
      <w:r w:rsidR="00BF5123">
        <w:rPr>
          <w:rFonts w:ascii="Arial" w:hAnsi="Arial" w:cs="Arial"/>
        </w:rPr>
        <w:t>the rates of reimbursement per mile in the costs of fuel.</w:t>
      </w:r>
      <w:r w:rsidR="00C67733">
        <w:rPr>
          <w:rFonts w:ascii="Arial" w:hAnsi="Arial" w:cs="Arial"/>
        </w:rPr>
        <w:t xml:space="preserve"> </w:t>
      </w:r>
      <w:r w:rsidR="005E2E92">
        <w:rPr>
          <w:rFonts w:ascii="Arial" w:hAnsi="Arial" w:cs="Arial"/>
        </w:rPr>
        <w:t xml:space="preserve">This calculation sets out the </w:t>
      </w:r>
      <w:r w:rsidR="005E2E92" w:rsidRPr="005E2E92">
        <w:rPr>
          <w:rFonts w:ascii="Arial" w:hAnsi="Arial" w:cs="Arial"/>
        </w:rPr>
        <w:t>advisory fuel rates for company car users</w:t>
      </w:r>
      <w:r w:rsidR="005E2E92">
        <w:rPr>
          <w:rFonts w:ascii="Arial" w:hAnsi="Arial" w:cs="Arial"/>
        </w:rPr>
        <w:t xml:space="preserve"> and are calculated using the prevailing price of fuel on a quarterly basis. </w:t>
      </w:r>
      <w:r w:rsidR="005F3EA1" w:rsidRPr="005F3EA1">
        <w:rPr>
          <w:rFonts w:ascii="Arial" w:hAnsi="Arial" w:cs="Arial"/>
        </w:rPr>
        <w:t xml:space="preserve">On looking at the data </w:t>
      </w:r>
      <w:r w:rsidR="00C81536">
        <w:rPr>
          <w:rFonts w:ascii="Arial" w:hAnsi="Arial" w:cs="Arial"/>
        </w:rPr>
        <w:t xml:space="preserve">the </w:t>
      </w:r>
      <w:r w:rsidR="005F3EA1" w:rsidRPr="005F3EA1">
        <w:rPr>
          <w:rFonts w:ascii="Arial" w:hAnsi="Arial" w:cs="Arial"/>
        </w:rPr>
        <w:t xml:space="preserve">baseline </w:t>
      </w:r>
      <w:r w:rsidR="00C81536">
        <w:rPr>
          <w:rFonts w:ascii="Arial" w:hAnsi="Arial" w:cs="Arial"/>
        </w:rPr>
        <w:t xml:space="preserve">has been set using the rate of reimbursement applied between 1 June 2021 and 31 August 2021 which was 13 pence per </w:t>
      </w:r>
      <w:r w:rsidR="00C67733">
        <w:rPr>
          <w:rFonts w:ascii="Arial" w:hAnsi="Arial" w:cs="Arial"/>
        </w:rPr>
        <w:t xml:space="preserve">mile </w:t>
      </w:r>
      <w:r w:rsidR="00C81536">
        <w:rPr>
          <w:rFonts w:ascii="Arial" w:hAnsi="Arial" w:cs="Arial"/>
        </w:rPr>
        <w:t>for a 140</w:t>
      </w:r>
      <w:r w:rsidR="00C67733">
        <w:rPr>
          <w:rFonts w:ascii="Arial" w:hAnsi="Arial" w:cs="Arial"/>
        </w:rPr>
        <w:t>1</w:t>
      </w:r>
      <w:r w:rsidR="00C81536">
        <w:rPr>
          <w:rFonts w:ascii="Arial" w:hAnsi="Arial" w:cs="Arial"/>
        </w:rPr>
        <w:t xml:space="preserve"> – 2000 cc vehicle running at 44.9 mpg. This equates to £</w:t>
      </w:r>
      <w:r w:rsidR="00C67733">
        <w:rPr>
          <w:rFonts w:ascii="Arial" w:hAnsi="Arial" w:cs="Arial"/>
        </w:rPr>
        <w:t>5.84 per gallon or £1.2</w:t>
      </w:r>
      <w:r w:rsidR="00C81536">
        <w:rPr>
          <w:rFonts w:ascii="Arial" w:hAnsi="Arial" w:cs="Arial"/>
        </w:rPr>
        <w:t xml:space="preserve">8 per litre. </w:t>
      </w:r>
    </w:p>
    <w:p w14:paraId="31E4BBA1" w14:textId="77777777" w:rsidR="00A31E52" w:rsidRDefault="00A31E52" w:rsidP="005F3EA1">
      <w:pPr>
        <w:rPr>
          <w:rFonts w:ascii="Arial" w:hAnsi="Arial" w:cs="Arial"/>
        </w:rPr>
      </w:pPr>
      <w:r>
        <w:rPr>
          <w:rFonts w:ascii="Arial" w:hAnsi="Arial" w:cs="Arial"/>
        </w:rPr>
        <w:t>A</w:t>
      </w:r>
      <w:r w:rsidR="005F3EA1" w:rsidRPr="005F3EA1">
        <w:rPr>
          <w:rFonts w:ascii="Arial" w:hAnsi="Arial" w:cs="Arial"/>
        </w:rPr>
        <w:t xml:space="preserve"> tolerance level </w:t>
      </w:r>
      <w:r>
        <w:rPr>
          <w:rFonts w:ascii="Arial" w:hAnsi="Arial" w:cs="Arial"/>
        </w:rPr>
        <w:t xml:space="preserve">above the baseline </w:t>
      </w:r>
      <w:r w:rsidR="005F3EA1" w:rsidRPr="005F3EA1">
        <w:rPr>
          <w:rFonts w:ascii="Arial" w:hAnsi="Arial" w:cs="Arial"/>
        </w:rPr>
        <w:t xml:space="preserve">of </w:t>
      </w:r>
      <w:r w:rsidR="00C67733">
        <w:rPr>
          <w:rFonts w:ascii="Arial" w:hAnsi="Arial" w:cs="Arial"/>
        </w:rPr>
        <w:t xml:space="preserve">circa </w:t>
      </w:r>
      <w:r w:rsidR="005F3EA1" w:rsidRPr="005F3EA1">
        <w:rPr>
          <w:rFonts w:ascii="Arial" w:hAnsi="Arial" w:cs="Arial"/>
        </w:rPr>
        <w:t>1</w:t>
      </w:r>
      <w:r w:rsidR="00C67733">
        <w:rPr>
          <w:rFonts w:ascii="Arial" w:hAnsi="Arial" w:cs="Arial"/>
        </w:rPr>
        <w:t>5</w:t>
      </w:r>
      <w:r w:rsidR="005F3EA1" w:rsidRPr="005F3EA1">
        <w:rPr>
          <w:rFonts w:ascii="Arial" w:hAnsi="Arial" w:cs="Arial"/>
        </w:rPr>
        <w:t xml:space="preserve">% </w:t>
      </w:r>
      <w:r>
        <w:rPr>
          <w:rFonts w:ascii="Arial" w:hAnsi="Arial" w:cs="Arial"/>
        </w:rPr>
        <w:t xml:space="preserve">provides for </w:t>
      </w:r>
      <w:r w:rsidR="005F3EA1" w:rsidRPr="005F3EA1">
        <w:rPr>
          <w:rFonts w:ascii="Arial" w:hAnsi="Arial" w:cs="Arial"/>
        </w:rPr>
        <w:t xml:space="preserve">an upper level of £6.80 per gallon or 1.50 per litre </w:t>
      </w:r>
      <w:r>
        <w:rPr>
          <w:rFonts w:ascii="Arial" w:hAnsi="Arial" w:cs="Arial"/>
        </w:rPr>
        <w:t xml:space="preserve">and this is the </w:t>
      </w:r>
      <w:r w:rsidR="005F3EA1" w:rsidRPr="005F3EA1">
        <w:rPr>
          <w:rFonts w:ascii="Arial" w:hAnsi="Arial" w:cs="Arial"/>
        </w:rPr>
        <w:t xml:space="preserve">point at which the trigger would come in and the point at which it would be removed. That </w:t>
      </w:r>
      <w:r>
        <w:rPr>
          <w:rFonts w:ascii="Arial" w:hAnsi="Arial" w:cs="Arial"/>
        </w:rPr>
        <w:t xml:space="preserve">broadly </w:t>
      </w:r>
      <w:r w:rsidR="005F3EA1" w:rsidRPr="005F3EA1">
        <w:rPr>
          <w:rFonts w:ascii="Arial" w:hAnsi="Arial" w:cs="Arial"/>
        </w:rPr>
        <w:t xml:space="preserve">equates to </w:t>
      </w:r>
      <w:r>
        <w:rPr>
          <w:rFonts w:ascii="Arial" w:hAnsi="Arial" w:cs="Arial"/>
        </w:rPr>
        <w:t xml:space="preserve">a </w:t>
      </w:r>
      <w:r w:rsidR="005F3EA1" w:rsidRPr="005F3EA1">
        <w:rPr>
          <w:rFonts w:ascii="Arial" w:hAnsi="Arial" w:cs="Arial"/>
        </w:rPr>
        <w:t xml:space="preserve">2 pence per mile increase above the AMAP rate. </w:t>
      </w:r>
      <w:r>
        <w:rPr>
          <w:rFonts w:ascii="Arial" w:hAnsi="Arial" w:cs="Arial"/>
        </w:rPr>
        <w:t xml:space="preserve">As </w:t>
      </w:r>
      <w:proofErr w:type="gramStart"/>
      <w:r>
        <w:rPr>
          <w:rFonts w:ascii="Arial" w:hAnsi="Arial" w:cs="Arial"/>
        </w:rPr>
        <w:t>noted</w:t>
      </w:r>
      <w:proofErr w:type="gramEnd"/>
      <w:r>
        <w:rPr>
          <w:rFonts w:ascii="Arial" w:hAnsi="Arial" w:cs="Arial"/>
        </w:rPr>
        <w:t xml:space="preserve"> t</w:t>
      </w:r>
      <w:r w:rsidR="00C67733">
        <w:rPr>
          <w:rFonts w:ascii="Arial" w:hAnsi="Arial" w:cs="Arial"/>
        </w:rPr>
        <w:t xml:space="preserve">he </w:t>
      </w:r>
      <w:r w:rsidR="005F3EA1" w:rsidRPr="005F3EA1">
        <w:rPr>
          <w:rFonts w:ascii="Arial" w:hAnsi="Arial" w:cs="Arial"/>
        </w:rPr>
        <w:t xml:space="preserve">increase </w:t>
      </w:r>
      <w:r>
        <w:rPr>
          <w:rFonts w:ascii="Arial" w:hAnsi="Arial" w:cs="Arial"/>
        </w:rPr>
        <w:t xml:space="preserve">at this point would be 5 pence per mile </w:t>
      </w:r>
      <w:r w:rsidR="005F3EA1" w:rsidRPr="005F3EA1">
        <w:rPr>
          <w:rFonts w:ascii="Arial" w:hAnsi="Arial" w:cs="Arial"/>
        </w:rPr>
        <w:t xml:space="preserve">which would, after 20% tax and NI, provide circa 3.5 </w:t>
      </w:r>
      <w:r w:rsidR="00C67733">
        <w:rPr>
          <w:rFonts w:ascii="Arial" w:hAnsi="Arial" w:cs="Arial"/>
        </w:rPr>
        <w:t>pence</w:t>
      </w:r>
      <w:r>
        <w:rPr>
          <w:rFonts w:ascii="Arial" w:hAnsi="Arial" w:cs="Arial"/>
        </w:rPr>
        <w:t xml:space="preserve"> and this band would cover any further increases in the price of fuel </w:t>
      </w:r>
      <w:r w:rsidR="00F54721">
        <w:rPr>
          <w:rFonts w:ascii="Arial" w:hAnsi="Arial" w:cs="Arial"/>
        </w:rPr>
        <w:t xml:space="preserve">as published under the HMRC Advisory Fuel Rates assessment of </w:t>
      </w:r>
      <w:r>
        <w:rPr>
          <w:rFonts w:ascii="Arial" w:hAnsi="Arial" w:cs="Arial"/>
        </w:rPr>
        <w:t>up to 17</w:t>
      </w:r>
      <w:r w:rsidR="00F54721">
        <w:rPr>
          <w:rFonts w:ascii="Arial" w:hAnsi="Arial" w:cs="Arial"/>
        </w:rPr>
        <w:t>.9</w:t>
      </w:r>
      <w:r>
        <w:rPr>
          <w:rFonts w:ascii="Arial" w:hAnsi="Arial" w:cs="Arial"/>
        </w:rPr>
        <w:t xml:space="preserve"> pence per mile</w:t>
      </w:r>
      <w:r w:rsidR="00C67733">
        <w:rPr>
          <w:rFonts w:ascii="Arial" w:hAnsi="Arial" w:cs="Arial"/>
        </w:rPr>
        <w:t xml:space="preserve">. </w:t>
      </w:r>
    </w:p>
    <w:p w14:paraId="2EFEECED" w14:textId="77777777" w:rsidR="005F3EA1" w:rsidRPr="005F3EA1" w:rsidRDefault="00C67733" w:rsidP="005F3EA1">
      <w:pPr>
        <w:rPr>
          <w:rFonts w:ascii="Arial" w:hAnsi="Arial" w:cs="Arial"/>
        </w:rPr>
      </w:pPr>
      <w:r>
        <w:rPr>
          <w:rFonts w:ascii="Arial" w:hAnsi="Arial" w:cs="Arial"/>
        </w:rPr>
        <w:t xml:space="preserve">Should HMRC Advisory Fuel Rates Assessment reach or exceed </w:t>
      </w:r>
      <w:r w:rsidR="00F54721">
        <w:rPr>
          <w:rFonts w:ascii="Arial" w:hAnsi="Arial" w:cs="Arial"/>
        </w:rPr>
        <w:t xml:space="preserve">a </w:t>
      </w:r>
      <w:r>
        <w:rPr>
          <w:rFonts w:ascii="Arial" w:hAnsi="Arial" w:cs="Arial"/>
        </w:rPr>
        <w:t xml:space="preserve">reimbursement </w:t>
      </w:r>
      <w:r w:rsidR="00F54721">
        <w:rPr>
          <w:rFonts w:ascii="Arial" w:hAnsi="Arial" w:cs="Arial"/>
        </w:rPr>
        <w:t xml:space="preserve">of 18 pence per mile </w:t>
      </w:r>
      <w:r>
        <w:rPr>
          <w:rFonts w:ascii="Arial" w:hAnsi="Arial" w:cs="Arial"/>
        </w:rPr>
        <w:t xml:space="preserve">then </w:t>
      </w:r>
      <w:r w:rsidR="005F3EA1" w:rsidRPr="005F3EA1">
        <w:rPr>
          <w:rFonts w:ascii="Arial" w:hAnsi="Arial" w:cs="Arial"/>
        </w:rPr>
        <w:t xml:space="preserve">a further </w:t>
      </w:r>
      <w:r>
        <w:rPr>
          <w:rFonts w:ascii="Arial" w:hAnsi="Arial" w:cs="Arial"/>
        </w:rPr>
        <w:t>partnership review will be undertaken</w:t>
      </w:r>
      <w:r w:rsidR="005F3EA1" w:rsidRPr="005F3EA1">
        <w:rPr>
          <w:rFonts w:ascii="Arial" w:hAnsi="Arial" w:cs="Arial"/>
        </w:rPr>
        <w:t xml:space="preserve">. </w:t>
      </w:r>
    </w:p>
    <w:p w14:paraId="04D406FC" w14:textId="77777777" w:rsidR="005F3EA1" w:rsidRDefault="005F3EA1" w:rsidP="005F3EA1">
      <w:pPr>
        <w:rPr>
          <w:rFonts w:ascii="Arial" w:hAnsi="Arial" w:cs="Arial"/>
        </w:rPr>
      </w:pPr>
      <w:r w:rsidRPr="005F3EA1">
        <w:rPr>
          <w:rFonts w:ascii="Arial" w:hAnsi="Arial" w:cs="Arial"/>
        </w:rPr>
        <w:t>  </w:t>
      </w:r>
    </w:p>
    <w:p w14:paraId="551C9E94" w14:textId="77777777" w:rsidR="00F54721" w:rsidRPr="00F54721" w:rsidRDefault="00F54721" w:rsidP="005F3EA1">
      <w:pPr>
        <w:rPr>
          <w:rFonts w:ascii="Arial" w:hAnsi="Arial" w:cs="Arial"/>
          <w:b/>
        </w:rPr>
      </w:pPr>
      <w:r w:rsidRPr="00F54721">
        <w:rPr>
          <w:rFonts w:ascii="Arial" w:hAnsi="Arial" w:cs="Arial"/>
          <w:b/>
        </w:rPr>
        <w:lastRenderedPageBreak/>
        <w:t xml:space="preserve">Impact on AMAP rates as published in Section 17 (Wales) NHS Terms and Conditions of Service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1"/>
        <w:gridCol w:w="1310"/>
        <w:gridCol w:w="1871"/>
        <w:gridCol w:w="1879"/>
        <w:gridCol w:w="1457"/>
        <w:gridCol w:w="1058"/>
      </w:tblGrid>
      <w:tr w:rsidR="002634EF" w:rsidRPr="005F3EA1" w14:paraId="6E92B4B2" w14:textId="6E85B572" w:rsidTr="002634EF">
        <w:tc>
          <w:tcPr>
            <w:tcW w:w="1441" w:type="dxa"/>
            <w:shd w:val="clear" w:color="auto" w:fill="D9D9D9" w:themeFill="background1" w:themeFillShade="D9"/>
            <w:tcMar>
              <w:top w:w="0" w:type="dxa"/>
              <w:left w:w="108" w:type="dxa"/>
              <w:bottom w:w="0" w:type="dxa"/>
              <w:right w:w="108" w:type="dxa"/>
            </w:tcMar>
            <w:hideMark/>
          </w:tcPr>
          <w:p w14:paraId="45FC73F9" w14:textId="77777777" w:rsidR="002634EF" w:rsidRPr="00F54721" w:rsidRDefault="002634EF" w:rsidP="005F3EA1">
            <w:pPr>
              <w:rPr>
                <w:rFonts w:ascii="Arial" w:hAnsi="Arial" w:cs="Arial"/>
                <w:b/>
              </w:rPr>
            </w:pPr>
            <w:r w:rsidRPr="00F54721">
              <w:rPr>
                <w:rFonts w:ascii="Arial" w:hAnsi="Arial" w:cs="Arial"/>
                <w:b/>
              </w:rPr>
              <w:t>Price of fuel pence per litre</w:t>
            </w:r>
          </w:p>
        </w:tc>
        <w:tc>
          <w:tcPr>
            <w:tcW w:w="1310" w:type="dxa"/>
            <w:shd w:val="clear" w:color="auto" w:fill="D9D9D9" w:themeFill="background1" w:themeFillShade="D9"/>
            <w:tcMar>
              <w:top w:w="0" w:type="dxa"/>
              <w:left w:w="108" w:type="dxa"/>
              <w:bottom w:w="0" w:type="dxa"/>
              <w:right w:w="108" w:type="dxa"/>
            </w:tcMar>
            <w:hideMark/>
          </w:tcPr>
          <w:p w14:paraId="00F9F9FE" w14:textId="77777777" w:rsidR="002634EF" w:rsidRPr="00F54721" w:rsidRDefault="002634EF" w:rsidP="005F3EA1">
            <w:pPr>
              <w:rPr>
                <w:rFonts w:ascii="Arial" w:hAnsi="Arial" w:cs="Arial"/>
                <w:b/>
              </w:rPr>
            </w:pPr>
            <w:r w:rsidRPr="00F54721">
              <w:rPr>
                <w:rFonts w:ascii="Arial" w:hAnsi="Arial" w:cs="Arial"/>
                <w:b/>
              </w:rPr>
              <w:t>Pence per mile (ppm)</w:t>
            </w:r>
          </w:p>
        </w:tc>
        <w:tc>
          <w:tcPr>
            <w:tcW w:w="1871" w:type="dxa"/>
            <w:shd w:val="clear" w:color="auto" w:fill="D9D9D9" w:themeFill="background1" w:themeFillShade="D9"/>
          </w:tcPr>
          <w:p w14:paraId="10F83348" w14:textId="77777777" w:rsidR="002634EF" w:rsidRPr="00F54721" w:rsidRDefault="002634EF" w:rsidP="005F3EA1">
            <w:pPr>
              <w:rPr>
                <w:rFonts w:ascii="Arial" w:hAnsi="Arial" w:cs="Arial"/>
                <w:b/>
              </w:rPr>
            </w:pPr>
            <w:r>
              <w:rPr>
                <w:rFonts w:ascii="Arial" w:hAnsi="Arial" w:cs="Arial"/>
                <w:b/>
              </w:rPr>
              <w:t xml:space="preserve">HMRC </w:t>
            </w:r>
            <w:r w:rsidRPr="00F54721">
              <w:rPr>
                <w:rFonts w:ascii="Arial" w:hAnsi="Arial" w:cs="Arial"/>
                <w:b/>
              </w:rPr>
              <w:t>Advisory Fuel Rate (ppm)</w:t>
            </w:r>
            <w:r>
              <w:rPr>
                <w:rFonts w:ascii="Arial" w:hAnsi="Arial" w:cs="Arial"/>
                <w:b/>
              </w:rPr>
              <w:t xml:space="preserve"> – including date of publication</w:t>
            </w:r>
          </w:p>
        </w:tc>
        <w:tc>
          <w:tcPr>
            <w:tcW w:w="1879" w:type="dxa"/>
            <w:shd w:val="clear" w:color="auto" w:fill="D9D9D9" w:themeFill="background1" w:themeFillShade="D9"/>
            <w:tcMar>
              <w:top w:w="0" w:type="dxa"/>
              <w:left w:w="108" w:type="dxa"/>
              <w:bottom w:w="0" w:type="dxa"/>
              <w:right w:w="108" w:type="dxa"/>
            </w:tcMar>
            <w:hideMark/>
          </w:tcPr>
          <w:p w14:paraId="1CD418DE" w14:textId="77777777" w:rsidR="002634EF" w:rsidRPr="00F54721" w:rsidRDefault="002634EF" w:rsidP="005F3EA1">
            <w:pPr>
              <w:rPr>
                <w:rFonts w:ascii="Arial" w:hAnsi="Arial" w:cs="Arial"/>
                <w:b/>
              </w:rPr>
            </w:pPr>
            <w:r w:rsidRPr="00F54721">
              <w:rPr>
                <w:rFonts w:ascii="Arial" w:hAnsi="Arial" w:cs="Arial"/>
                <w:b/>
              </w:rPr>
              <w:t>Reimbursement</w:t>
            </w:r>
          </w:p>
        </w:tc>
        <w:tc>
          <w:tcPr>
            <w:tcW w:w="1457" w:type="dxa"/>
            <w:shd w:val="clear" w:color="auto" w:fill="D9D9D9" w:themeFill="background1" w:themeFillShade="D9"/>
            <w:tcMar>
              <w:top w:w="0" w:type="dxa"/>
              <w:left w:w="108" w:type="dxa"/>
              <w:bottom w:w="0" w:type="dxa"/>
              <w:right w:w="108" w:type="dxa"/>
            </w:tcMar>
            <w:hideMark/>
          </w:tcPr>
          <w:p w14:paraId="0FCAB51C" w14:textId="77777777" w:rsidR="002634EF" w:rsidRPr="00F54721" w:rsidRDefault="002634EF" w:rsidP="005F3EA1">
            <w:pPr>
              <w:rPr>
                <w:rFonts w:ascii="Arial" w:hAnsi="Arial" w:cs="Arial"/>
                <w:b/>
              </w:rPr>
            </w:pPr>
            <w:r w:rsidRPr="00F54721">
              <w:rPr>
                <w:rFonts w:ascii="Arial" w:hAnsi="Arial" w:cs="Arial"/>
                <w:b/>
              </w:rPr>
              <w:t>Net increase</w:t>
            </w:r>
          </w:p>
        </w:tc>
        <w:tc>
          <w:tcPr>
            <w:tcW w:w="1058" w:type="dxa"/>
            <w:shd w:val="clear" w:color="auto" w:fill="D9D9D9" w:themeFill="background1" w:themeFillShade="D9"/>
          </w:tcPr>
          <w:p w14:paraId="1A8ED126" w14:textId="2A651267" w:rsidR="002634EF" w:rsidRPr="00F54721" w:rsidRDefault="002634EF" w:rsidP="005F3EA1">
            <w:pPr>
              <w:rPr>
                <w:rFonts w:ascii="Arial" w:hAnsi="Arial" w:cs="Arial"/>
                <w:b/>
              </w:rPr>
            </w:pPr>
            <w:r>
              <w:rPr>
                <w:rFonts w:ascii="Arial" w:hAnsi="Arial" w:cs="Arial"/>
                <w:b/>
              </w:rPr>
              <w:t>Dates increase applied</w:t>
            </w:r>
          </w:p>
        </w:tc>
      </w:tr>
      <w:tr w:rsidR="002634EF" w:rsidRPr="005F3EA1" w14:paraId="24CD571B" w14:textId="73FA66A8" w:rsidTr="002634EF">
        <w:tc>
          <w:tcPr>
            <w:tcW w:w="1441" w:type="dxa"/>
            <w:shd w:val="clear" w:color="auto" w:fill="D9D9D9" w:themeFill="background1" w:themeFillShade="D9"/>
            <w:tcMar>
              <w:top w:w="0" w:type="dxa"/>
              <w:left w:w="108" w:type="dxa"/>
              <w:bottom w:w="0" w:type="dxa"/>
              <w:right w:w="108" w:type="dxa"/>
            </w:tcMar>
            <w:hideMark/>
          </w:tcPr>
          <w:p w14:paraId="0D2AF7BB" w14:textId="77777777" w:rsidR="002634EF" w:rsidRPr="00F54721" w:rsidRDefault="002634EF" w:rsidP="005F3EA1">
            <w:pPr>
              <w:rPr>
                <w:rFonts w:ascii="Arial" w:hAnsi="Arial" w:cs="Arial"/>
                <w:b/>
              </w:rPr>
            </w:pPr>
            <w:r w:rsidRPr="00F54721">
              <w:rPr>
                <w:rFonts w:ascii="Arial" w:hAnsi="Arial" w:cs="Arial"/>
                <w:b/>
              </w:rPr>
              <w:t>1.30 (baseline)</w:t>
            </w:r>
          </w:p>
        </w:tc>
        <w:tc>
          <w:tcPr>
            <w:tcW w:w="1310" w:type="dxa"/>
            <w:tcMar>
              <w:top w:w="0" w:type="dxa"/>
              <w:left w:w="108" w:type="dxa"/>
              <w:bottom w:w="0" w:type="dxa"/>
              <w:right w:w="108" w:type="dxa"/>
            </w:tcMar>
            <w:hideMark/>
          </w:tcPr>
          <w:p w14:paraId="446E81BF" w14:textId="77777777" w:rsidR="002634EF" w:rsidRPr="005F3EA1" w:rsidRDefault="002634EF" w:rsidP="005F3EA1">
            <w:pPr>
              <w:rPr>
                <w:rFonts w:ascii="Arial" w:hAnsi="Arial" w:cs="Arial"/>
              </w:rPr>
            </w:pPr>
            <w:r w:rsidRPr="005F3EA1">
              <w:rPr>
                <w:rFonts w:ascii="Arial" w:hAnsi="Arial" w:cs="Arial"/>
              </w:rPr>
              <w:t>13.1</w:t>
            </w:r>
          </w:p>
        </w:tc>
        <w:tc>
          <w:tcPr>
            <w:tcW w:w="1871" w:type="dxa"/>
          </w:tcPr>
          <w:p w14:paraId="5E745ACB" w14:textId="77777777" w:rsidR="002634EF" w:rsidRPr="005F3EA1" w:rsidRDefault="002634EF" w:rsidP="005F3EA1">
            <w:pPr>
              <w:rPr>
                <w:rFonts w:ascii="Arial" w:hAnsi="Arial" w:cs="Arial"/>
              </w:rPr>
            </w:pPr>
            <w:r>
              <w:rPr>
                <w:rFonts w:ascii="Arial" w:hAnsi="Arial" w:cs="Arial"/>
              </w:rPr>
              <w:t>13 (06/21)</w:t>
            </w:r>
          </w:p>
        </w:tc>
        <w:tc>
          <w:tcPr>
            <w:tcW w:w="1879" w:type="dxa"/>
            <w:tcMar>
              <w:top w:w="0" w:type="dxa"/>
              <w:left w:w="108" w:type="dxa"/>
              <w:bottom w:w="0" w:type="dxa"/>
              <w:right w:w="108" w:type="dxa"/>
            </w:tcMar>
            <w:hideMark/>
          </w:tcPr>
          <w:p w14:paraId="30CC18DB" w14:textId="77777777" w:rsidR="002634EF" w:rsidRPr="005F3EA1" w:rsidRDefault="002634EF" w:rsidP="005F3EA1">
            <w:pPr>
              <w:rPr>
                <w:rFonts w:ascii="Arial" w:hAnsi="Arial" w:cs="Arial"/>
              </w:rPr>
            </w:pPr>
            <w:r w:rsidRPr="005F3EA1">
              <w:rPr>
                <w:rFonts w:ascii="Arial" w:hAnsi="Arial" w:cs="Arial"/>
              </w:rPr>
              <w:t>45 ppm</w:t>
            </w:r>
          </w:p>
        </w:tc>
        <w:tc>
          <w:tcPr>
            <w:tcW w:w="1457" w:type="dxa"/>
            <w:tcMar>
              <w:top w:w="0" w:type="dxa"/>
              <w:left w:w="108" w:type="dxa"/>
              <w:bottom w:w="0" w:type="dxa"/>
              <w:right w:w="108" w:type="dxa"/>
            </w:tcMar>
            <w:hideMark/>
          </w:tcPr>
          <w:p w14:paraId="20E24DBF" w14:textId="77777777" w:rsidR="002634EF" w:rsidRPr="005F3EA1" w:rsidRDefault="002634EF" w:rsidP="005F3EA1">
            <w:pPr>
              <w:rPr>
                <w:rFonts w:ascii="Arial" w:hAnsi="Arial" w:cs="Arial"/>
              </w:rPr>
            </w:pPr>
            <w:r w:rsidRPr="005F3EA1">
              <w:rPr>
                <w:rFonts w:ascii="Arial" w:hAnsi="Arial" w:cs="Arial"/>
              </w:rPr>
              <w:t>AMAP rate</w:t>
            </w:r>
            <w:r>
              <w:rPr>
                <w:rFonts w:ascii="Arial" w:hAnsi="Arial" w:cs="Arial"/>
              </w:rPr>
              <w:t xml:space="preserve"> – no tax/NI</w:t>
            </w:r>
          </w:p>
        </w:tc>
        <w:tc>
          <w:tcPr>
            <w:tcW w:w="1058" w:type="dxa"/>
          </w:tcPr>
          <w:p w14:paraId="684142A6" w14:textId="4447DC8A" w:rsidR="002634EF" w:rsidRPr="005F3EA1" w:rsidRDefault="002634EF" w:rsidP="005F3EA1">
            <w:pPr>
              <w:rPr>
                <w:rFonts w:ascii="Arial" w:hAnsi="Arial" w:cs="Arial"/>
              </w:rPr>
            </w:pPr>
            <w:r>
              <w:rPr>
                <w:rFonts w:ascii="Arial" w:hAnsi="Arial" w:cs="Arial"/>
              </w:rPr>
              <w:t>To 31/3/22</w:t>
            </w:r>
          </w:p>
        </w:tc>
      </w:tr>
      <w:tr w:rsidR="002634EF" w:rsidRPr="005F3EA1" w14:paraId="0E80C35F" w14:textId="2AA6D1D1" w:rsidTr="002634EF">
        <w:tc>
          <w:tcPr>
            <w:tcW w:w="1441" w:type="dxa"/>
            <w:shd w:val="clear" w:color="auto" w:fill="D9D9D9" w:themeFill="background1" w:themeFillShade="D9"/>
            <w:tcMar>
              <w:top w:w="0" w:type="dxa"/>
              <w:left w:w="108" w:type="dxa"/>
              <w:bottom w:w="0" w:type="dxa"/>
              <w:right w:w="108" w:type="dxa"/>
            </w:tcMar>
            <w:hideMark/>
          </w:tcPr>
          <w:p w14:paraId="74935B8E" w14:textId="77777777" w:rsidR="002634EF" w:rsidRPr="00F54721" w:rsidRDefault="002634EF" w:rsidP="005F3EA1">
            <w:pPr>
              <w:rPr>
                <w:rFonts w:ascii="Arial" w:hAnsi="Arial" w:cs="Arial"/>
                <w:b/>
              </w:rPr>
            </w:pPr>
            <w:r w:rsidRPr="00F54721">
              <w:rPr>
                <w:rFonts w:ascii="Arial" w:hAnsi="Arial" w:cs="Arial"/>
                <w:b/>
              </w:rPr>
              <w:t>At or above 1.50</w:t>
            </w:r>
          </w:p>
        </w:tc>
        <w:tc>
          <w:tcPr>
            <w:tcW w:w="1310" w:type="dxa"/>
            <w:tcMar>
              <w:top w:w="0" w:type="dxa"/>
              <w:left w:w="108" w:type="dxa"/>
              <w:bottom w:w="0" w:type="dxa"/>
              <w:right w:w="108" w:type="dxa"/>
            </w:tcMar>
            <w:hideMark/>
          </w:tcPr>
          <w:p w14:paraId="542C51FE" w14:textId="77777777" w:rsidR="002634EF" w:rsidRPr="005F3EA1" w:rsidRDefault="002634EF" w:rsidP="005F3EA1">
            <w:pPr>
              <w:rPr>
                <w:rFonts w:ascii="Arial" w:hAnsi="Arial" w:cs="Arial"/>
              </w:rPr>
            </w:pPr>
            <w:r w:rsidRPr="005F3EA1">
              <w:rPr>
                <w:rFonts w:ascii="Arial" w:hAnsi="Arial" w:cs="Arial"/>
              </w:rPr>
              <w:t>15.2</w:t>
            </w:r>
          </w:p>
        </w:tc>
        <w:tc>
          <w:tcPr>
            <w:tcW w:w="1871" w:type="dxa"/>
          </w:tcPr>
          <w:p w14:paraId="43525D68" w14:textId="77777777" w:rsidR="002634EF" w:rsidRDefault="002634EF" w:rsidP="005F3EA1">
            <w:pPr>
              <w:rPr>
                <w:rFonts w:ascii="Arial" w:hAnsi="Arial" w:cs="Arial"/>
              </w:rPr>
            </w:pPr>
            <w:r>
              <w:rPr>
                <w:rFonts w:ascii="Arial" w:hAnsi="Arial" w:cs="Arial"/>
              </w:rPr>
              <w:t>15 (03/22)</w:t>
            </w:r>
          </w:p>
          <w:p w14:paraId="49D63A58" w14:textId="6C931ACE" w:rsidR="002634EF" w:rsidRPr="005F3EA1" w:rsidRDefault="002634EF" w:rsidP="005F3EA1">
            <w:pPr>
              <w:rPr>
                <w:rFonts w:ascii="Arial" w:hAnsi="Arial" w:cs="Arial"/>
              </w:rPr>
            </w:pPr>
            <w:r>
              <w:rPr>
                <w:rFonts w:ascii="Arial" w:hAnsi="Arial" w:cs="Arial"/>
              </w:rPr>
              <w:t>17 (06/22), (12/22)</w:t>
            </w:r>
          </w:p>
        </w:tc>
        <w:tc>
          <w:tcPr>
            <w:tcW w:w="1879" w:type="dxa"/>
            <w:tcMar>
              <w:top w:w="0" w:type="dxa"/>
              <w:left w:w="108" w:type="dxa"/>
              <w:bottom w:w="0" w:type="dxa"/>
              <w:right w:w="108" w:type="dxa"/>
            </w:tcMar>
            <w:hideMark/>
          </w:tcPr>
          <w:p w14:paraId="3A891A76" w14:textId="77777777" w:rsidR="002634EF" w:rsidRPr="005F3EA1" w:rsidRDefault="002634EF" w:rsidP="005F3EA1">
            <w:pPr>
              <w:rPr>
                <w:rFonts w:ascii="Arial" w:hAnsi="Arial" w:cs="Arial"/>
              </w:rPr>
            </w:pPr>
            <w:r w:rsidRPr="005F3EA1">
              <w:rPr>
                <w:rFonts w:ascii="Arial" w:hAnsi="Arial" w:cs="Arial"/>
              </w:rPr>
              <w:t>50 ppm</w:t>
            </w:r>
          </w:p>
        </w:tc>
        <w:tc>
          <w:tcPr>
            <w:tcW w:w="1457" w:type="dxa"/>
            <w:tcMar>
              <w:top w:w="0" w:type="dxa"/>
              <w:left w:w="108" w:type="dxa"/>
              <w:bottom w:w="0" w:type="dxa"/>
              <w:right w:w="108" w:type="dxa"/>
            </w:tcMar>
            <w:hideMark/>
          </w:tcPr>
          <w:p w14:paraId="38C8E833" w14:textId="77777777" w:rsidR="002634EF" w:rsidRPr="005F3EA1" w:rsidRDefault="002634EF" w:rsidP="005F3EA1">
            <w:pPr>
              <w:rPr>
                <w:rFonts w:ascii="Arial" w:hAnsi="Arial" w:cs="Arial"/>
              </w:rPr>
            </w:pPr>
            <w:r w:rsidRPr="005F3EA1">
              <w:rPr>
                <w:rFonts w:ascii="Arial" w:hAnsi="Arial" w:cs="Arial"/>
              </w:rPr>
              <w:t>Circa 3.5 ppm</w:t>
            </w:r>
          </w:p>
        </w:tc>
        <w:tc>
          <w:tcPr>
            <w:tcW w:w="1058" w:type="dxa"/>
          </w:tcPr>
          <w:p w14:paraId="56A0F7D7" w14:textId="77777777" w:rsidR="002634EF" w:rsidRDefault="002634EF" w:rsidP="005F3EA1">
            <w:pPr>
              <w:rPr>
                <w:rFonts w:ascii="Arial" w:hAnsi="Arial" w:cs="Arial"/>
              </w:rPr>
            </w:pPr>
            <w:r>
              <w:rPr>
                <w:rFonts w:ascii="Arial" w:hAnsi="Arial" w:cs="Arial"/>
              </w:rPr>
              <w:t>From 1/4/22 – 31/8/22</w:t>
            </w:r>
          </w:p>
          <w:p w14:paraId="5CCC0DE6" w14:textId="37055768" w:rsidR="002634EF" w:rsidRPr="005F3EA1" w:rsidRDefault="002634EF" w:rsidP="005F3EA1">
            <w:pPr>
              <w:rPr>
                <w:rFonts w:ascii="Arial" w:hAnsi="Arial" w:cs="Arial"/>
              </w:rPr>
            </w:pPr>
            <w:r>
              <w:rPr>
                <w:rFonts w:ascii="Arial" w:hAnsi="Arial" w:cs="Arial"/>
              </w:rPr>
              <w:t xml:space="preserve">Current rate from 1/12/22 </w:t>
            </w:r>
          </w:p>
        </w:tc>
      </w:tr>
      <w:tr w:rsidR="002634EF" w:rsidRPr="005F3EA1" w14:paraId="76771172" w14:textId="1B3E1BA1" w:rsidTr="002634EF">
        <w:tc>
          <w:tcPr>
            <w:tcW w:w="1441" w:type="dxa"/>
            <w:shd w:val="clear" w:color="auto" w:fill="D9D9D9" w:themeFill="background1" w:themeFillShade="D9"/>
            <w:tcMar>
              <w:top w:w="0" w:type="dxa"/>
              <w:left w:w="108" w:type="dxa"/>
              <w:bottom w:w="0" w:type="dxa"/>
              <w:right w:w="108" w:type="dxa"/>
            </w:tcMar>
          </w:tcPr>
          <w:p w14:paraId="7CD3DAFD" w14:textId="77777777" w:rsidR="002634EF" w:rsidRPr="00F54721" w:rsidRDefault="002634EF" w:rsidP="005F3EA1">
            <w:pPr>
              <w:rPr>
                <w:rFonts w:ascii="Arial" w:hAnsi="Arial" w:cs="Arial"/>
                <w:b/>
              </w:rPr>
            </w:pPr>
          </w:p>
        </w:tc>
        <w:tc>
          <w:tcPr>
            <w:tcW w:w="1310" w:type="dxa"/>
            <w:tcMar>
              <w:top w:w="0" w:type="dxa"/>
              <w:left w:w="108" w:type="dxa"/>
              <w:bottom w:w="0" w:type="dxa"/>
              <w:right w:w="108" w:type="dxa"/>
            </w:tcMar>
          </w:tcPr>
          <w:p w14:paraId="6685270D" w14:textId="77777777" w:rsidR="002634EF" w:rsidRPr="005F3EA1" w:rsidRDefault="002634EF" w:rsidP="005F3EA1">
            <w:pPr>
              <w:rPr>
                <w:rFonts w:ascii="Arial" w:hAnsi="Arial" w:cs="Arial"/>
              </w:rPr>
            </w:pPr>
          </w:p>
        </w:tc>
        <w:tc>
          <w:tcPr>
            <w:tcW w:w="1871" w:type="dxa"/>
          </w:tcPr>
          <w:p w14:paraId="1D380367" w14:textId="2FA6CBF7" w:rsidR="002634EF" w:rsidRPr="005F3EA1" w:rsidRDefault="002634EF" w:rsidP="005F3EA1">
            <w:pPr>
              <w:rPr>
                <w:rFonts w:ascii="Arial" w:hAnsi="Arial" w:cs="Arial"/>
              </w:rPr>
            </w:pPr>
            <w:r>
              <w:rPr>
                <w:rFonts w:ascii="Arial" w:hAnsi="Arial" w:cs="Arial"/>
              </w:rPr>
              <w:t>18 (09/22)</w:t>
            </w:r>
          </w:p>
        </w:tc>
        <w:tc>
          <w:tcPr>
            <w:tcW w:w="1879" w:type="dxa"/>
            <w:tcMar>
              <w:top w:w="0" w:type="dxa"/>
              <w:left w:w="108" w:type="dxa"/>
              <w:bottom w:w="0" w:type="dxa"/>
              <w:right w:w="108" w:type="dxa"/>
            </w:tcMar>
            <w:hideMark/>
          </w:tcPr>
          <w:p w14:paraId="08E74C8E" w14:textId="68F6933F" w:rsidR="002634EF" w:rsidRPr="005F3EA1" w:rsidRDefault="002634EF" w:rsidP="005F3EA1">
            <w:pPr>
              <w:rPr>
                <w:rFonts w:ascii="Arial" w:hAnsi="Arial" w:cs="Arial"/>
              </w:rPr>
            </w:pPr>
            <w:r>
              <w:rPr>
                <w:rFonts w:ascii="Arial" w:hAnsi="Arial" w:cs="Arial"/>
              </w:rPr>
              <w:t>51.5 ppm</w:t>
            </w:r>
          </w:p>
        </w:tc>
        <w:tc>
          <w:tcPr>
            <w:tcW w:w="1457" w:type="dxa"/>
            <w:tcMar>
              <w:top w:w="0" w:type="dxa"/>
              <w:left w:w="108" w:type="dxa"/>
              <w:bottom w:w="0" w:type="dxa"/>
              <w:right w:w="108" w:type="dxa"/>
            </w:tcMar>
            <w:hideMark/>
          </w:tcPr>
          <w:p w14:paraId="2C7097AA" w14:textId="26116C30" w:rsidR="002634EF" w:rsidRPr="005F3EA1" w:rsidRDefault="002634EF" w:rsidP="005F3EA1">
            <w:pPr>
              <w:rPr>
                <w:rFonts w:ascii="Arial" w:hAnsi="Arial" w:cs="Arial"/>
              </w:rPr>
            </w:pPr>
            <w:r>
              <w:rPr>
                <w:rFonts w:ascii="Arial" w:hAnsi="Arial" w:cs="Arial"/>
              </w:rPr>
              <w:t>4.5 ppm</w:t>
            </w:r>
          </w:p>
        </w:tc>
        <w:tc>
          <w:tcPr>
            <w:tcW w:w="1058" w:type="dxa"/>
          </w:tcPr>
          <w:p w14:paraId="38B6B89E" w14:textId="4C10158B" w:rsidR="002634EF" w:rsidRDefault="002634EF" w:rsidP="005F3EA1">
            <w:pPr>
              <w:rPr>
                <w:rFonts w:ascii="Arial" w:hAnsi="Arial" w:cs="Arial"/>
              </w:rPr>
            </w:pPr>
            <w:r>
              <w:rPr>
                <w:rFonts w:ascii="Arial" w:hAnsi="Arial" w:cs="Arial"/>
              </w:rPr>
              <w:t>From 1/9/22 – 30/11/22</w:t>
            </w:r>
          </w:p>
        </w:tc>
      </w:tr>
    </w:tbl>
    <w:p w14:paraId="50E54790" w14:textId="77777777" w:rsidR="005F3EA1" w:rsidRPr="005F3EA1" w:rsidRDefault="005F3EA1" w:rsidP="005F3EA1">
      <w:pPr>
        <w:rPr>
          <w:rFonts w:ascii="Arial" w:hAnsi="Arial" w:cs="Arial"/>
        </w:rPr>
      </w:pPr>
      <w:r w:rsidRPr="005F3EA1">
        <w:rPr>
          <w:rFonts w:ascii="Arial" w:hAnsi="Arial" w:cs="Arial"/>
        </w:rPr>
        <w:t> </w:t>
      </w:r>
    </w:p>
    <w:p w14:paraId="732AB418" w14:textId="32F5E051" w:rsidR="00065DF3" w:rsidRDefault="00C55DEB" w:rsidP="005F3EA1">
      <w:pPr>
        <w:rPr>
          <w:rFonts w:ascii="Arial" w:hAnsi="Arial" w:cs="Arial"/>
        </w:rPr>
      </w:pPr>
      <w:r>
        <w:rPr>
          <w:rFonts w:ascii="Arial" w:hAnsi="Arial" w:cs="Arial"/>
        </w:rPr>
        <w:t>The 5 ppm increase will be applied to the M&amp;D mileage rates for vehicles where the rate of reimbursement is below the 4</w:t>
      </w:r>
      <w:r w:rsidR="00C355C5">
        <w:rPr>
          <w:rFonts w:ascii="Arial" w:hAnsi="Arial" w:cs="Arial"/>
        </w:rPr>
        <w:t>5</w:t>
      </w:r>
      <w:r>
        <w:rPr>
          <w:rFonts w:ascii="Arial" w:hAnsi="Arial" w:cs="Arial"/>
        </w:rPr>
        <w:t xml:space="preserve"> ppm AMAP rate</w:t>
      </w:r>
      <w:r w:rsidR="00605C46">
        <w:rPr>
          <w:rFonts w:ascii="Arial" w:hAnsi="Arial" w:cs="Arial"/>
        </w:rPr>
        <w:t xml:space="preserve"> (and also to the current 47 ppm rate)</w:t>
      </w:r>
      <w:r w:rsidR="005C790F">
        <w:rPr>
          <w:rFonts w:ascii="Arial" w:hAnsi="Arial" w:cs="Arial"/>
        </w:rPr>
        <w:t xml:space="preserve">. </w:t>
      </w:r>
      <w:r w:rsidR="003826F6">
        <w:rPr>
          <w:rFonts w:ascii="Arial" w:hAnsi="Arial" w:cs="Arial"/>
        </w:rPr>
        <w:t>A</w:t>
      </w:r>
      <w:r w:rsidR="005C790F">
        <w:rPr>
          <w:rFonts w:ascii="Arial" w:hAnsi="Arial" w:cs="Arial"/>
        </w:rPr>
        <w:t xml:space="preserve">ny subsequent </w:t>
      </w:r>
      <w:r w:rsidR="003826F6">
        <w:rPr>
          <w:rFonts w:ascii="Arial" w:hAnsi="Arial" w:cs="Arial"/>
        </w:rPr>
        <w:t>increases to the AMAP adjustment would also be</w:t>
      </w:r>
      <w:r w:rsidR="001B6EC3">
        <w:rPr>
          <w:rFonts w:ascii="Arial" w:hAnsi="Arial" w:cs="Arial"/>
        </w:rPr>
        <w:t xml:space="preserve"> considered for M&amp;D mileage rates.</w:t>
      </w:r>
    </w:p>
    <w:p w14:paraId="06F7309D" w14:textId="5DF09FAE" w:rsidR="005F3EA1" w:rsidRPr="005F3EA1" w:rsidRDefault="005F3EA1" w:rsidP="005F3EA1">
      <w:pPr>
        <w:rPr>
          <w:rFonts w:ascii="Arial" w:hAnsi="Arial" w:cs="Arial"/>
        </w:rPr>
      </w:pPr>
      <w:r w:rsidRPr="005F3EA1">
        <w:rPr>
          <w:rFonts w:ascii="Arial" w:hAnsi="Arial" w:cs="Arial"/>
        </w:rPr>
        <w:t>In addition to the above the reserve rate w</w:t>
      </w:r>
      <w:r w:rsidR="00C55DEB">
        <w:rPr>
          <w:rFonts w:ascii="Arial" w:hAnsi="Arial" w:cs="Arial"/>
        </w:rPr>
        <w:t xml:space="preserve">ill </w:t>
      </w:r>
      <w:r w:rsidRPr="005F3EA1">
        <w:rPr>
          <w:rFonts w:ascii="Arial" w:hAnsi="Arial" w:cs="Arial"/>
        </w:rPr>
        <w:t>also increase by 5 pence per mile where tax and NI are paid and by 3 pence per mile where tax and NI aren’t paid.</w:t>
      </w:r>
    </w:p>
    <w:p w14:paraId="5410AD95" w14:textId="77777777" w:rsidR="005F3EA1" w:rsidRPr="005F3EA1" w:rsidRDefault="00C55DEB" w:rsidP="005F3EA1">
      <w:pPr>
        <w:rPr>
          <w:rFonts w:ascii="Arial" w:hAnsi="Arial" w:cs="Arial"/>
        </w:rPr>
      </w:pPr>
      <w:r>
        <w:rPr>
          <w:rFonts w:ascii="Arial" w:hAnsi="Arial" w:cs="Arial"/>
        </w:rPr>
        <w:t xml:space="preserve">The increase will apply for all </w:t>
      </w:r>
      <w:r w:rsidR="005F3EA1" w:rsidRPr="005F3EA1">
        <w:rPr>
          <w:rFonts w:ascii="Arial" w:hAnsi="Arial" w:cs="Arial"/>
        </w:rPr>
        <w:t xml:space="preserve">fuel types including electric, hybrid and diesel cars. </w:t>
      </w:r>
    </w:p>
    <w:p w14:paraId="1EE00FF6" w14:textId="77777777" w:rsidR="005F3EA1" w:rsidRDefault="00C55DEB" w:rsidP="005F3EA1">
      <w:pPr>
        <w:rPr>
          <w:rFonts w:ascii="Arial" w:hAnsi="Arial" w:cs="Arial"/>
        </w:rPr>
      </w:pPr>
      <w:r w:rsidRPr="00F54721">
        <w:rPr>
          <w:rFonts w:ascii="Arial" w:hAnsi="Arial" w:cs="Arial"/>
          <w:b/>
        </w:rPr>
        <w:t xml:space="preserve">This is a temporary position whilst the AMAP and published M&amp;D rates remain at the 2021/22 level. </w:t>
      </w:r>
      <w:r w:rsidR="00F54721">
        <w:rPr>
          <w:rFonts w:ascii="Arial" w:hAnsi="Arial" w:cs="Arial"/>
          <w:b/>
        </w:rPr>
        <w:t>It is expected that there will be a return to t</w:t>
      </w:r>
      <w:r w:rsidRPr="00F54721">
        <w:rPr>
          <w:rFonts w:ascii="Arial" w:hAnsi="Arial" w:cs="Arial"/>
          <w:b/>
        </w:rPr>
        <w:t xml:space="preserve">he substantive position for mileage reimbursement </w:t>
      </w:r>
      <w:r w:rsidR="00F54721">
        <w:rPr>
          <w:rFonts w:ascii="Arial" w:hAnsi="Arial" w:cs="Arial"/>
          <w:b/>
        </w:rPr>
        <w:t xml:space="preserve">on </w:t>
      </w:r>
      <w:r w:rsidRPr="00F54721">
        <w:rPr>
          <w:rFonts w:ascii="Arial" w:hAnsi="Arial" w:cs="Arial"/>
          <w:b/>
        </w:rPr>
        <w:t xml:space="preserve">an ongoing basis and should the AMAP rate be increased these arrangements will be revisited with the intention of moving back to the regular arrangements.  </w:t>
      </w:r>
    </w:p>
    <w:p w14:paraId="14D11A40" w14:textId="77777777" w:rsidR="00F54721" w:rsidRDefault="00F54721" w:rsidP="005F3EA1">
      <w:pPr>
        <w:rPr>
          <w:rFonts w:ascii="Arial" w:hAnsi="Arial" w:cs="Arial"/>
        </w:rPr>
      </w:pPr>
    </w:p>
    <w:p w14:paraId="34E8C079" w14:textId="128CFDAF" w:rsidR="00F54721" w:rsidRPr="00F54721" w:rsidRDefault="002634EF" w:rsidP="005F3EA1">
      <w:pPr>
        <w:rPr>
          <w:rFonts w:ascii="Arial" w:hAnsi="Arial" w:cs="Arial"/>
        </w:rPr>
      </w:pPr>
      <w:r>
        <w:rPr>
          <w:rFonts w:ascii="Arial" w:hAnsi="Arial" w:cs="Arial"/>
        </w:rPr>
        <w:t xml:space="preserve">Updated </w:t>
      </w:r>
      <w:r w:rsidR="00E812CF">
        <w:rPr>
          <w:rFonts w:ascii="Arial" w:hAnsi="Arial" w:cs="Arial"/>
        </w:rPr>
        <w:t>22</w:t>
      </w:r>
      <w:r w:rsidR="00E812CF" w:rsidRPr="00E812CF">
        <w:rPr>
          <w:rFonts w:ascii="Arial" w:hAnsi="Arial" w:cs="Arial"/>
          <w:vertAlign w:val="superscript"/>
        </w:rPr>
        <w:t>nd</w:t>
      </w:r>
      <w:r w:rsidR="00E812CF">
        <w:rPr>
          <w:rFonts w:ascii="Arial" w:hAnsi="Arial" w:cs="Arial"/>
        </w:rPr>
        <w:t xml:space="preserve"> </w:t>
      </w:r>
      <w:r>
        <w:rPr>
          <w:rFonts w:ascii="Arial" w:hAnsi="Arial" w:cs="Arial"/>
        </w:rPr>
        <w:t xml:space="preserve">December </w:t>
      </w:r>
      <w:r w:rsidR="00F54721">
        <w:rPr>
          <w:rFonts w:ascii="Arial" w:hAnsi="Arial" w:cs="Arial"/>
        </w:rPr>
        <w:t>2022</w:t>
      </w:r>
    </w:p>
    <w:p w14:paraId="602CB6C6" w14:textId="77777777" w:rsidR="005F3EA1" w:rsidRPr="005F3EA1" w:rsidRDefault="005F3EA1" w:rsidP="005F3EA1">
      <w:pPr>
        <w:rPr>
          <w:rFonts w:ascii="Arial" w:hAnsi="Arial" w:cs="Arial"/>
        </w:rPr>
      </w:pPr>
      <w:r w:rsidRPr="005F3EA1">
        <w:rPr>
          <w:rFonts w:ascii="Arial" w:hAnsi="Arial" w:cs="Arial"/>
        </w:rPr>
        <w:t> </w:t>
      </w:r>
    </w:p>
    <w:p w14:paraId="2E6CBB73" w14:textId="77777777" w:rsidR="005E2169" w:rsidRPr="005F3EA1" w:rsidRDefault="0010109A">
      <w:pPr>
        <w:rPr>
          <w:rFonts w:ascii="Arial" w:hAnsi="Arial" w:cs="Arial"/>
        </w:rPr>
      </w:pPr>
    </w:p>
    <w:sectPr w:rsidR="005E2169" w:rsidRPr="005F3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63C"/>
    <w:multiLevelType w:val="hybridMultilevel"/>
    <w:tmpl w:val="24B240C0"/>
    <w:lvl w:ilvl="0" w:tplc="5ABC387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7458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90"/>
    <w:rsid w:val="00065DF3"/>
    <w:rsid w:val="0010109A"/>
    <w:rsid w:val="001B6EC3"/>
    <w:rsid w:val="001F1272"/>
    <w:rsid w:val="002627A6"/>
    <w:rsid w:val="002634EF"/>
    <w:rsid w:val="003826F6"/>
    <w:rsid w:val="003F15DA"/>
    <w:rsid w:val="004C7516"/>
    <w:rsid w:val="005078FB"/>
    <w:rsid w:val="005C790F"/>
    <w:rsid w:val="005E2E92"/>
    <w:rsid w:val="005F3EA1"/>
    <w:rsid w:val="00605C46"/>
    <w:rsid w:val="006943F3"/>
    <w:rsid w:val="007D30B6"/>
    <w:rsid w:val="0081374B"/>
    <w:rsid w:val="00863539"/>
    <w:rsid w:val="00A31E52"/>
    <w:rsid w:val="00A87A1B"/>
    <w:rsid w:val="00AD1800"/>
    <w:rsid w:val="00AE5219"/>
    <w:rsid w:val="00B66CA3"/>
    <w:rsid w:val="00BF5123"/>
    <w:rsid w:val="00C355C5"/>
    <w:rsid w:val="00C55DEB"/>
    <w:rsid w:val="00C67733"/>
    <w:rsid w:val="00C81536"/>
    <w:rsid w:val="00E53C0F"/>
    <w:rsid w:val="00E812CF"/>
    <w:rsid w:val="00F54721"/>
    <w:rsid w:val="00F96B90"/>
    <w:rsid w:val="00FA2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4900"/>
  <w15:chartTrackingRefBased/>
  <w15:docId w15:val="{33F8503B-226A-4DD0-AF5B-D506C997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E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0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advisory-fuel-r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Tompkins (NHS Wales Employers)</dc:creator>
  <cp:keywords/>
  <dc:description/>
  <cp:lastModifiedBy>Andrew Davies</cp:lastModifiedBy>
  <cp:revision>2</cp:revision>
  <dcterms:created xsi:type="dcterms:W3CDTF">2022-12-22T16:31:00Z</dcterms:created>
  <dcterms:modified xsi:type="dcterms:W3CDTF">2022-12-22T16:31:00Z</dcterms:modified>
</cp:coreProperties>
</file>